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747B9EAA" w:rsidR="00E203C2" w:rsidRDefault="00E203C2" w:rsidP="00E203C2">
      <w:r>
        <w:rPr>
          <w:noProof/>
          <w:lang w:eastAsia="en-GB" w:bidi="ar-SA"/>
        </w:rPr>
        <w:drawing>
          <wp:inline distT="0" distB="0" distL="0" distR="0" wp14:anchorId="4A2E7454" wp14:editId="4582C3D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Default="00E203C2" w:rsidP="00E203C2"/>
    <w:p w14:paraId="20F851E2" w14:textId="1781E975" w:rsidR="00CA641D" w:rsidRPr="00D7088C" w:rsidRDefault="00D7088C" w:rsidP="00CA641D">
      <w:pPr>
        <w:rPr>
          <w:b/>
          <w:sz w:val="28"/>
          <w:szCs w:val="28"/>
        </w:rPr>
      </w:pPr>
      <w:r w:rsidRPr="00D7088C">
        <w:rPr>
          <w:b/>
          <w:sz w:val="28"/>
          <w:szCs w:val="28"/>
        </w:rPr>
        <w:t>16 May 2019</w:t>
      </w:r>
    </w:p>
    <w:p w14:paraId="716A0F35" w14:textId="6896F2D2" w:rsidR="00CA641D" w:rsidRPr="00D7088C" w:rsidRDefault="00761CF0" w:rsidP="00CA641D">
      <w:pPr>
        <w:rPr>
          <w:b/>
          <w:sz w:val="28"/>
          <w:szCs w:val="28"/>
        </w:rPr>
      </w:pPr>
      <w:r w:rsidRPr="00D7088C">
        <w:rPr>
          <w:b/>
          <w:sz w:val="28"/>
          <w:szCs w:val="28"/>
        </w:rPr>
        <w:t>[</w:t>
      </w:r>
      <w:r w:rsidR="00D7088C" w:rsidRPr="00D7088C">
        <w:rPr>
          <w:b/>
          <w:sz w:val="28"/>
          <w:szCs w:val="28"/>
        </w:rPr>
        <w:t>80-19</w:t>
      </w:r>
      <w:r w:rsidR="00CA641D" w:rsidRPr="00D7088C">
        <w:rPr>
          <w:b/>
          <w:sz w:val="28"/>
          <w:szCs w:val="28"/>
        </w:rPr>
        <w:t>]</w:t>
      </w:r>
    </w:p>
    <w:p w14:paraId="0CD668BB" w14:textId="77777777" w:rsidR="0057615C" w:rsidRPr="0057615C" w:rsidRDefault="0057615C" w:rsidP="00690206">
      <w:pPr>
        <w:pStyle w:val="FSTitle"/>
        <w:rPr>
          <w:b/>
          <w:sz w:val="22"/>
        </w:rPr>
      </w:pPr>
      <w:bookmarkStart w:id="0" w:name="_GoBack"/>
      <w:bookmarkEnd w:id="0"/>
    </w:p>
    <w:p w14:paraId="187C86CF" w14:textId="6C1722D1"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F0509">
        <w:rPr>
          <w:b/>
        </w:rPr>
        <w:t>1</w:t>
      </w:r>
    </w:p>
    <w:p w14:paraId="7C4C6180" w14:textId="77777777" w:rsidR="00BA24E2" w:rsidRDefault="00BA24E2" w:rsidP="00E203C2"/>
    <w:p w14:paraId="02E81F6B" w14:textId="000E9962" w:rsidR="00AF0509" w:rsidRDefault="003326FD" w:rsidP="00AF0509">
      <w:pPr>
        <w:pStyle w:val="FSTitle"/>
      </w:pPr>
      <w:r>
        <w:t xml:space="preserve">Risk </w:t>
      </w:r>
      <w:r w:rsidR="000C3587">
        <w:t xml:space="preserve">and </w:t>
      </w:r>
      <w:r>
        <w:t>technical</w:t>
      </w:r>
      <w:r w:rsidR="000C3587">
        <w:t xml:space="preserve"> </w:t>
      </w:r>
      <w:r w:rsidR="000C3587" w:rsidRPr="00AC6EE5">
        <w:t xml:space="preserve">assessment </w:t>
      </w:r>
      <w:r w:rsidR="00AF0509" w:rsidRPr="00C709B3">
        <w:t>– Application A11</w:t>
      </w:r>
      <w:r w:rsidR="00AF0509">
        <w:t>6</w:t>
      </w:r>
      <w:r w:rsidR="00D82516">
        <w:t>8</w:t>
      </w:r>
    </w:p>
    <w:p w14:paraId="1E09FD7A" w14:textId="77777777" w:rsidR="00AF0509" w:rsidRDefault="00AF0509" w:rsidP="00AF0509">
      <w:pPr>
        <w:pStyle w:val="FSTitle"/>
      </w:pPr>
      <w:r w:rsidRPr="00C709B3">
        <w:t xml:space="preserve"> </w:t>
      </w:r>
    </w:p>
    <w:p w14:paraId="004DEE3E" w14:textId="7F25B93A" w:rsidR="00AF0509" w:rsidRPr="00C709B3" w:rsidRDefault="00D82516" w:rsidP="000C3587">
      <w:pPr>
        <w:pStyle w:val="FSTitle"/>
      </w:pPr>
      <w:r>
        <w:t xml:space="preserve">Glucoamylase from </w:t>
      </w:r>
      <w:r w:rsidRPr="00451BFF">
        <w:rPr>
          <w:i/>
        </w:rPr>
        <w:t>Aspergillus niger</w:t>
      </w:r>
      <w:r w:rsidR="00E96E59">
        <w:t xml:space="preserve"> as a p</w:t>
      </w:r>
      <w:r>
        <w:t xml:space="preserve">rocessing </w:t>
      </w:r>
      <w:r w:rsidR="00E96E59">
        <w:t>a</w:t>
      </w:r>
      <w:r>
        <w:t>id</w:t>
      </w:r>
      <w:r w:rsidR="000C3587">
        <w:t xml:space="preserve"> (e</w:t>
      </w:r>
      <w:r>
        <w:t>nzyme)</w:t>
      </w:r>
    </w:p>
    <w:p w14:paraId="61101A5D" w14:textId="77777777" w:rsidR="00E203C2" w:rsidRPr="00B37BF0" w:rsidRDefault="00E203C2" w:rsidP="00E203C2">
      <w:pPr>
        <w:pBdr>
          <w:bottom w:val="single" w:sz="12" w:space="1" w:color="auto"/>
        </w:pBdr>
        <w:spacing w:line="280" w:lineRule="exact"/>
        <w:rPr>
          <w:rFonts w:cs="Arial"/>
          <w:bCs/>
        </w:rPr>
      </w:pPr>
    </w:p>
    <w:p w14:paraId="41D056D3" w14:textId="77777777" w:rsidR="00E203C2" w:rsidRPr="00B37BF0" w:rsidRDefault="00E203C2" w:rsidP="00E203C2"/>
    <w:p w14:paraId="709FABD9" w14:textId="77777777" w:rsidR="00092CDA" w:rsidRPr="00092CDA" w:rsidRDefault="00092CDA" w:rsidP="00352CF2">
      <w:pPr>
        <w:pStyle w:val="Heading1"/>
        <w:spacing w:before="0"/>
      </w:pPr>
      <w:bookmarkStart w:id="1" w:name="_Toc286391001"/>
      <w:bookmarkStart w:id="2" w:name="_Toc300933414"/>
      <w:bookmarkStart w:id="3" w:name="_Toc5629719"/>
      <w:r w:rsidRPr="00092CDA">
        <w:t xml:space="preserve">Executive </w:t>
      </w:r>
      <w:r w:rsidR="00B12F1E">
        <w:t>s</w:t>
      </w:r>
      <w:r w:rsidRPr="00092CDA">
        <w:t>ummary</w:t>
      </w:r>
      <w:bookmarkEnd w:id="1"/>
      <w:bookmarkEnd w:id="2"/>
      <w:bookmarkEnd w:id="3"/>
    </w:p>
    <w:p w14:paraId="3E62EB0D" w14:textId="7324B5F6" w:rsidR="00112098" w:rsidRPr="00A93FBB" w:rsidRDefault="00112098" w:rsidP="00112098">
      <w:r w:rsidRPr="00112098">
        <w:t xml:space="preserve">FSANZ has assessed an application from Novozymes Australia Pty Ltd </w:t>
      </w:r>
      <w:r>
        <w:t>to permit the use of</w:t>
      </w:r>
      <w:r w:rsidRPr="00112098">
        <w:t xml:space="preserve"> </w:t>
      </w:r>
      <w:r w:rsidR="000661D1">
        <w:t>glucan 1,4-alpha-glucosidase (</w:t>
      </w:r>
      <w:r w:rsidRPr="00112098">
        <w:t>glucoamylase</w:t>
      </w:r>
      <w:r w:rsidR="000661D1">
        <w:t>)</w:t>
      </w:r>
      <w:r w:rsidRPr="00112098">
        <w:t xml:space="preserve"> </w:t>
      </w:r>
      <w:r>
        <w:t xml:space="preserve">as a processing aid (enzyme). The enzyme is obtained from a </w:t>
      </w:r>
      <w:r w:rsidRPr="00112098">
        <w:t xml:space="preserve">genetically modified </w:t>
      </w:r>
      <w:r>
        <w:t xml:space="preserve">strain of </w:t>
      </w:r>
      <w:r w:rsidRPr="00112098">
        <w:rPr>
          <w:i/>
        </w:rPr>
        <w:t>Aspergillus niger</w:t>
      </w:r>
      <w:r>
        <w:t xml:space="preserve">, expressing the glucoamylase gene from </w:t>
      </w:r>
      <w:r w:rsidRPr="00112098">
        <w:rPr>
          <w:i/>
        </w:rPr>
        <w:t>Talaromyces emersonii</w:t>
      </w:r>
      <w:r>
        <w:t>.</w:t>
      </w:r>
      <w:r w:rsidR="00F155B9">
        <w:t xml:space="preserve"> </w:t>
      </w:r>
      <w:r w:rsidR="00A93FBB">
        <w:t>The purpose of the enzyme</w:t>
      </w:r>
      <w:r w:rsidR="00A93FBB" w:rsidRPr="00A93FBB">
        <w:t xml:space="preserve"> is to convert starch into glucose in the manufacture of syrups, beverages, cereal based products, fruit products and vegetable products.</w:t>
      </w:r>
    </w:p>
    <w:p w14:paraId="47588017" w14:textId="77777777" w:rsidR="00A93FBB" w:rsidRPr="00112098" w:rsidRDefault="00A93FBB" w:rsidP="00112098"/>
    <w:p w14:paraId="2C4A0A59" w14:textId="77777777" w:rsidR="00112098" w:rsidRPr="00A93FBB" w:rsidRDefault="00112098" w:rsidP="00112098">
      <w:r>
        <w:t xml:space="preserve">The food technological assessment concluded that the </w:t>
      </w:r>
      <w:r w:rsidRPr="00222AFC">
        <w:t>enzyme, in the form and prescribed amounts, is technologically justified and has been demonstrated to be effective in achieving its stated purpose.</w:t>
      </w:r>
      <w:r w:rsidRPr="00C37054">
        <w:t xml:space="preserve"> </w:t>
      </w:r>
      <w:r w:rsidRPr="00222AFC">
        <w:t>The enzyme performs its technological purpose during pro</w:t>
      </w:r>
      <w:r>
        <w:t>duction</w:t>
      </w:r>
      <w:r w:rsidRPr="00222AFC">
        <w:t xml:space="preserve"> and manufacture of food</w:t>
      </w:r>
      <w:r>
        <w:t>s</w:t>
      </w:r>
      <w:r w:rsidRPr="00222AFC">
        <w:t xml:space="preserve"> </w:t>
      </w:r>
      <w:r>
        <w:t xml:space="preserve">and </w:t>
      </w:r>
      <w:r w:rsidRPr="00222AFC">
        <w:t xml:space="preserve">is therefore appropriately categorised as a processing aid and not </w:t>
      </w:r>
      <w:r w:rsidRPr="00A93FBB">
        <w:t>a food additive. The enzyme preparation meets international purity specifications.</w:t>
      </w:r>
    </w:p>
    <w:p w14:paraId="0889A5CC" w14:textId="77777777" w:rsidR="00112098" w:rsidRPr="00A93FBB" w:rsidRDefault="00112098" w:rsidP="00690206"/>
    <w:p w14:paraId="2BA1C6B5" w14:textId="7F2B0797" w:rsidR="00F360CA" w:rsidRDefault="000C3587" w:rsidP="00690206">
      <w:r>
        <w:t xml:space="preserve">The safety assessment concluded that there are no public health and safety concerns associated with the use of </w:t>
      </w:r>
      <w:r w:rsidRPr="00112098">
        <w:t>glucoamylase</w:t>
      </w:r>
      <w:r>
        <w:t xml:space="preserve"> from </w:t>
      </w:r>
      <w:r w:rsidRPr="000C3587">
        <w:rPr>
          <w:i/>
        </w:rPr>
        <w:t>A. niger</w:t>
      </w:r>
      <w:r>
        <w:t xml:space="preserve"> as a processing aid</w:t>
      </w:r>
      <w:r w:rsidR="00F360CA">
        <w:t>.</w:t>
      </w:r>
      <w:r w:rsidR="00F360CA" w:rsidRPr="00F360CA">
        <w:t xml:space="preserve"> </w:t>
      </w:r>
      <w:r w:rsidR="002C78AE" w:rsidRPr="002C78AE">
        <w:t xml:space="preserve">The </w:t>
      </w:r>
      <w:r w:rsidR="002C78AE" w:rsidRPr="00902B5C">
        <w:rPr>
          <w:i/>
        </w:rPr>
        <w:t>A. niger</w:t>
      </w:r>
      <w:r w:rsidR="002C78AE" w:rsidRPr="002C78AE">
        <w:t xml:space="preserve"> production strain is not toxigenic or pathogenic and is absent in the final enzyme preparation proposed to be used as a food processing aid. </w:t>
      </w:r>
      <w:r w:rsidR="00065E98">
        <w:t>G</w:t>
      </w:r>
      <w:r w:rsidR="00065E98" w:rsidRPr="00065E98">
        <w:t xml:space="preserve">lucoamylase from </w:t>
      </w:r>
      <w:r w:rsidR="00065E98" w:rsidRPr="002C3A98">
        <w:rPr>
          <w:i/>
        </w:rPr>
        <w:t>A. niger</w:t>
      </w:r>
      <w:r w:rsidR="00065E98" w:rsidRPr="00065E98">
        <w:t xml:space="preserve"> has a history of safe use in several other countries, with the earliest specified date of approval being 2008. Other glucoamylases from a large number of microbial sources have been widely used in the food industry since the 1960s.</w:t>
      </w:r>
    </w:p>
    <w:p w14:paraId="1AA7D198" w14:textId="3B72425A" w:rsidR="00F360CA" w:rsidRDefault="00F360CA" w:rsidP="00690206"/>
    <w:p w14:paraId="16C2F225" w14:textId="77777777" w:rsidR="00093E7E" w:rsidRDefault="00CC71B8" w:rsidP="002C78AE">
      <w:r w:rsidRPr="00CC71B8">
        <w:t>Glucoamylase was not genotoxic in a bacterial reverse mutation assay (Ames test) or a micronucleus assay in cultured human</w:t>
      </w:r>
      <w:r w:rsidR="00093E7E">
        <w:t xml:space="preserve"> peripheral blood lymphocytes. No adverse effects were observed in rats administered g</w:t>
      </w:r>
      <w:r w:rsidR="002C78AE" w:rsidRPr="002C78AE">
        <w:t xml:space="preserve">lucoamylase produced by a strain of </w:t>
      </w:r>
      <w:r w:rsidR="002C78AE" w:rsidRPr="0055568B">
        <w:rPr>
          <w:i/>
        </w:rPr>
        <w:t>A. niger</w:t>
      </w:r>
      <w:r w:rsidR="002C78AE" w:rsidRPr="002C78AE">
        <w:t xml:space="preserve"> of the same strain lineage as the production strain </w:t>
      </w:r>
      <w:r w:rsidR="00093E7E">
        <w:t xml:space="preserve">for 13 weeks. </w:t>
      </w:r>
    </w:p>
    <w:p w14:paraId="7CFB1C15" w14:textId="77777777" w:rsidR="00093E7E" w:rsidRDefault="00093E7E" w:rsidP="002C78AE"/>
    <w:p w14:paraId="782A6BE0" w14:textId="77777777" w:rsidR="008D5293" w:rsidRPr="00D861A5" w:rsidRDefault="008D5293" w:rsidP="008D5293">
      <w:r w:rsidRPr="00D861A5">
        <w:t xml:space="preserve">Bioinformatic analyses did identify a high degree of homology between the recombinant glucoamylase to that of a respiratory allergen but further analysis indicated that the glucoamylase from </w:t>
      </w:r>
      <w:r w:rsidRPr="00E60FB7">
        <w:rPr>
          <w:i/>
        </w:rPr>
        <w:t>T. emersonii</w:t>
      </w:r>
      <w:r w:rsidRPr="00D861A5">
        <w:t xml:space="preserve"> expressed in </w:t>
      </w:r>
      <w:r w:rsidRPr="00E60FB7">
        <w:rPr>
          <w:i/>
        </w:rPr>
        <w:t>A. niger</w:t>
      </w:r>
      <w:r w:rsidRPr="00D861A5">
        <w:t xml:space="preserve"> is not considered to represent a food safety hazard.</w:t>
      </w:r>
    </w:p>
    <w:p w14:paraId="052122F9" w14:textId="77777777" w:rsidR="00F155B9" w:rsidRDefault="00F155B9" w:rsidP="00690206">
      <w:pPr>
        <w:rPr>
          <w:lang w:eastAsia="en-AU"/>
        </w:rPr>
      </w:pPr>
    </w:p>
    <w:p w14:paraId="5ACA2150" w14:textId="0E343D52" w:rsidR="001B70F7" w:rsidRDefault="001B70F7" w:rsidP="00F155B9">
      <w:pPr>
        <w:widowControl/>
        <w:rPr>
          <w:lang w:eastAsia="en-AU"/>
        </w:rPr>
        <w:sectPr w:rsidR="001B70F7" w:rsidSect="0054272D">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r>
        <w:rPr>
          <w:lang w:eastAsia="en-AU"/>
        </w:rPr>
        <w:t>I</w:t>
      </w:r>
      <w:r w:rsidR="000C3587">
        <w:rPr>
          <w:lang w:eastAsia="en-AU"/>
        </w:rPr>
        <w:t xml:space="preserve">n the absence of any identifiable hazard an Acceptable Daily Intake (ADI) ‘not specified’ is appropriate. A dietary exposure assessment was </w:t>
      </w:r>
      <w:r>
        <w:rPr>
          <w:lang w:eastAsia="en-AU"/>
        </w:rPr>
        <w:t xml:space="preserve">therefore </w:t>
      </w:r>
      <w:r w:rsidR="000C3587">
        <w:rPr>
          <w:lang w:eastAsia="en-AU"/>
        </w:rPr>
        <w:t>not required.</w:t>
      </w:r>
    </w:p>
    <w:p w14:paraId="06AD872C"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5B3D682A" w14:textId="41D46D3F" w:rsidR="00761903"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629719" w:history="1">
        <w:r w:rsidR="00761903" w:rsidRPr="00696DBF">
          <w:rPr>
            <w:rStyle w:val="Hyperlink"/>
            <w:noProof/>
          </w:rPr>
          <w:t>Executive summary</w:t>
        </w:r>
        <w:r w:rsidR="00761903">
          <w:rPr>
            <w:noProof/>
            <w:webHidden/>
          </w:rPr>
          <w:tab/>
        </w:r>
        <w:r w:rsidR="00761903">
          <w:rPr>
            <w:noProof/>
            <w:webHidden/>
          </w:rPr>
          <w:fldChar w:fldCharType="begin"/>
        </w:r>
        <w:r w:rsidR="00761903">
          <w:rPr>
            <w:noProof/>
            <w:webHidden/>
          </w:rPr>
          <w:instrText xml:space="preserve"> PAGEREF _Toc5629719 \h </w:instrText>
        </w:r>
        <w:r w:rsidR="00761903">
          <w:rPr>
            <w:noProof/>
            <w:webHidden/>
          </w:rPr>
        </w:r>
        <w:r w:rsidR="00761903">
          <w:rPr>
            <w:noProof/>
            <w:webHidden/>
          </w:rPr>
          <w:fldChar w:fldCharType="separate"/>
        </w:r>
        <w:r w:rsidR="00761903">
          <w:rPr>
            <w:noProof/>
            <w:webHidden/>
          </w:rPr>
          <w:t>i</w:t>
        </w:r>
        <w:r w:rsidR="00761903">
          <w:rPr>
            <w:noProof/>
            <w:webHidden/>
          </w:rPr>
          <w:fldChar w:fldCharType="end"/>
        </w:r>
      </w:hyperlink>
    </w:p>
    <w:p w14:paraId="5DD1F590" w14:textId="6C4DEEE5" w:rsidR="00761903" w:rsidRDefault="00300C2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629720" w:history="1">
        <w:r w:rsidR="00761903" w:rsidRPr="00696DBF">
          <w:rPr>
            <w:rStyle w:val="Hyperlink"/>
            <w:noProof/>
          </w:rPr>
          <w:t xml:space="preserve">1 </w:t>
        </w:r>
        <w:r w:rsidR="00761903">
          <w:rPr>
            <w:rFonts w:eastAsiaTheme="minorEastAsia" w:cstheme="minorBidi"/>
            <w:b w:val="0"/>
            <w:bCs w:val="0"/>
            <w:caps w:val="0"/>
            <w:noProof/>
            <w:sz w:val="22"/>
            <w:szCs w:val="22"/>
            <w:lang w:eastAsia="en-GB" w:bidi="ar-SA"/>
          </w:rPr>
          <w:tab/>
        </w:r>
        <w:r w:rsidR="00761903" w:rsidRPr="00696DBF">
          <w:rPr>
            <w:rStyle w:val="Hyperlink"/>
            <w:noProof/>
          </w:rPr>
          <w:t>Introduction</w:t>
        </w:r>
        <w:r w:rsidR="00761903">
          <w:rPr>
            <w:noProof/>
            <w:webHidden/>
          </w:rPr>
          <w:tab/>
        </w:r>
        <w:r w:rsidR="00761903">
          <w:rPr>
            <w:noProof/>
            <w:webHidden/>
          </w:rPr>
          <w:fldChar w:fldCharType="begin"/>
        </w:r>
        <w:r w:rsidR="00761903">
          <w:rPr>
            <w:noProof/>
            <w:webHidden/>
          </w:rPr>
          <w:instrText xml:space="preserve"> PAGEREF _Toc5629720 \h </w:instrText>
        </w:r>
        <w:r w:rsidR="00761903">
          <w:rPr>
            <w:noProof/>
            <w:webHidden/>
          </w:rPr>
        </w:r>
        <w:r w:rsidR="00761903">
          <w:rPr>
            <w:noProof/>
            <w:webHidden/>
          </w:rPr>
          <w:fldChar w:fldCharType="separate"/>
        </w:r>
        <w:r w:rsidR="00761903">
          <w:rPr>
            <w:noProof/>
            <w:webHidden/>
          </w:rPr>
          <w:t>2</w:t>
        </w:r>
        <w:r w:rsidR="00761903">
          <w:rPr>
            <w:noProof/>
            <w:webHidden/>
          </w:rPr>
          <w:fldChar w:fldCharType="end"/>
        </w:r>
      </w:hyperlink>
    </w:p>
    <w:p w14:paraId="5AC67B24" w14:textId="0D3E67DA" w:rsidR="00761903" w:rsidRDefault="00300C2A">
      <w:pPr>
        <w:pStyle w:val="TOC2"/>
        <w:tabs>
          <w:tab w:val="left" w:pos="880"/>
          <w:tab w:val="right" w:leader="dot" w:pos="9060"/>
        </w:tabs>
        <w:rPr>
          <w:rFonts w:eastAsiaTheme="minorEastAsia" w:cstheme="minorBidi"/>
          <w:smallCaps w:val="0"/>
          <w:noProof/>
          <w:sz w:val="22"/>
          <w:szCs w:val="22"/>
          <w:lang w:eastAsia="en-GB" w:bidi="ar-SA"/>
        </w:rPr>
      </w:pPr>
      <w:hyperlink w:anchor="_Toc5629721" w:history="1">
        <w:r w:rsidR="00761903" w:rsidRPr="00696DBF">
          <w:rPr>
            <w:rStyle w:val="Hyperlink"/>
            <w:noProof/>
          </w:rPr>
          <w:t>1.1</w:t>
        </w:r>
        <w:r w:rsidR="00761903">
          <w:rPr>
            <w:rFonts w:eastAsiaTheme="minorEastAsia" w:cstheme="minorBidi"/>
            <w:smallCaps w:val="0"/>
            <w:noProof/>
            <w:sz w:val="22"/>
            <w:szCs w:val="22"/>
            <w:lang w:eastAsia="en-GB" w:bidi="ar-SA"/>
          </w:rPr>
          <w:tab/>
        </w:r>
        <w:r w:rsidR="00761903" w:rsidRPr="00696DBF">
          <w:rPr>
            <w:rStyle w:val="Hyperlink"/>
            <w:noProof/>
          </w:rPr>
          <w:t>Objectives of the assessment</w:t>
        </w:r>
        <w:r w:rsidR="00761903">
          <w:rPr>
            <w:noProof/>
            <w:webHidden/>
          </w:rPr>
          <w:tab/>
        </w:r>
        <w:r w:rsidR="00761903">
          <w:rPr>
            <w:noProof/>
            <w:webHidden/>
          </w:rPr>
          <w:fldChar w:fldCharType="begin"/>
        </w:r>
        <w:r w:rsidR="00761903">
          <w:rPr>
            <w:noProof/>
            <w:webHidden/>
          </w:rPr>
          <w:instrText xml:space="preserve"> PAGEREF _Toc5629721 \h </w:instrText>
        </w:r>
        <w:r w:rsidR="00761903">
          <w:rPr>
            <w:noProof/>
            <w:webHidden/>
          </w:rPr>
        </w:r>
        <w:r w:rsidR="00761903">
          <w:rPr>
            <w:noProof/>
            <w:webHidden/>
          </w:rPr>
          <w:fldChar w:fldCharType="separate"/>
        </w:r>
        <w:r w:rsidR="00761903">
          <w:rPr>
            <w:noProof/>
            <w:webHidden/>
          </w:rPr>
          <w:t>2</w:t>
        </w:r>
        <w:r w:rsidR="00761903">
          <w:rPr>
            <w:noProof/>
            <w:webHidden/>
          </w:rPr>
          <w:fldChar w:fldCharType="end"/>
        </w:r>
      </w:hyperlink>
    </w:p>
    <w:p w14:paraId="0B6EE827" w14:textId="24F378E4" w:rsidR="00761903" w:rsidRDefault="00300C2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629722" w:history="1">
        <w:r w:rsidR="00761903" w:rsidRPr="00696DBF">
          <w:rPr>
            <w:rStyle w:val="Hyperlink"/>
            <w:noProof/>
          </w:rPr>
          <w:t>2</w:t>
        </w:r>
        <w:r w:rsidR="00761903">
          <w:rPr>
            <w:rFonts w:eastAsiaTheme="minorEastAsia" w:cstheme="minorBidi"/>
            <w:b w:val="0"/>
            <w:bCs w:val="0"/>
            <w:caps w:val="0"/>
            <w:noProof/>
            <w:sz w:val="22"/>
            <w:szCs w:val="22"/>
            <w:lang w:eastAsia="en-GB" w:bidi="ar-SA"/>
          </w:rPr>
          <w:tab/>
        </w:r>
        <w:r w:rsidR="00761903" w:rsidRPr="00696DBF">
          <w:rPr>
            <w:rStyle w:val="Hyperlink"/>
            <w:noProof/>
          </w:rPr>
          <w:t>Food technology assessment</w:t>
        </w:r>
        <w:r w:rsidR="00761903">
          <w:rPr>
            <w:noProof/>
            <w:webHidden/>
          </w:rPr>
          <w:tab/>
        </w:r>
        <w:r w:rsidR="00761903">
          <w:rPr>
            <w:noProof/>
            <w:webHidden/>
          </w:rPr>
          <w:fldChar w:fldCharType="begin"/>
        </w:r>
        <w:r w:rsidR="00761903">
          <w:rPr>
            <w:noProof/>
            <w:webHidden/>
          </w:rPr>
          <w:instrText xml:space="preserve"> PAGEREF _Toc5629722 \h </w:instrText>
        </w:r>
        <w:r w:rsidR="00761903">
          <w:rPr>
            <w:noProof/>
            <w:webHidden/>
          </w:rPr>
        </w:r>
        <w:r w:rsidR="00761903">
          <w:rPr>
            <w:noProof/>
            <w:webHidden/>
          </w:rPr>
          <w:fldChar w:fldCharType="separate"/>
        </w:r>
        <w:r w:rsidR="00761903">
          <w:rPr>
            <w:noProof/>
            <w:webHidden/>
          </w:rPr>
          <w:t>2</w:t>
        </w:r>
        <w:r w:rsidR="00761903">
          <w:rPr>
            <w:noProof/>
            <w:webHidden/>
          </w:rPr>
          <w:fldChar w:fldCharType="end"/>
        </w:r>
      </w:hyperlink>
    </w:p>
    <w:p w14:paraId="38CCCC00" w14:textId="2656B0CF" w:rsidR="00761903" w:rsidRDefault="00300C2A">
      <w:pPr>
        <w:pStyle w:val="TOC2"/>
        <w:tabs>
          <w:tab w:val="left" w:pos="880"/>
          <w:tab w:val="right" w:leader="dot" w:pos="9060"/>
        </w:tabs>
        <w:rPr>
          <w:rFonts w:eastAsiaTheme="minorEastAsia" w:cstheme="minorBidi"/>
          <w:smallCaps w:val="0"/>
          <w:noProof/>
          <w:sz w:val="22"/>
          <w:szCs w:val="22"/>
          <w:lang w:eastAsia="en-GB" w:bidi="ar-SA"/>
        </w:rPr>
      </w:pPr>
      <w:hyperlink w:anchor="_Toc5629723" w:history="1">
        <w:r w:rsidR="00761903" w:rsidRPr="00696DBF">
          <w:rPr>
            <w:rStyle w:val="Hyperlink"/>
            <w:noProof/>
          </w:rPr>
          <w:t>2.1</w:t>
        </w:r>
        <w:r w:rsidR="00761903">
          <w:rPr>
            <w:rFonts w:eastAsiaTheme="minorEastAsia" w:cstheme="minorBidi"/>
            <w:smallCaps w:val="0"/>
            <w:noProof/>
            <w:sz w:val="22"/>
            <w:szCs w:val="22"/>
            <w:lang w:eastAsia="en-GB" w:bidi="ar-SA"/>
          </w:rPr>
          <w:tab/>
        </w:r>
        <w:r w:rsidR="00761903" w:rsidRPr="00696DBF">
          <w:rPr>
            <w:rStyle w:val="Hyperlink"/>
            <w:noProof/>
          </w:rPr>
          <w:t>Characterisation of the enzyme</w:t>
        </w:r>
        <w:r w:rsidR="00761903">
          <w:rPr>
            <w:noProof/>
            <w:webHidden/>
          </w:rPr>
          <w:tab/>
        </w:r>
        <w:r w:rsidR="00761903">
          <w:rPr>
            <w:noProof/>
            <w:webHidden/>
          </w:rPr>
          <w:fldChar w:fldCharType="begin"/>
        </w:r>
        <w:r w:rsidR="00761903">
          <w:rPr>
            <w:noProof/>
            <w:webHidden/>
          </w:rPr>
          <w:instrText xml:space="preserve"> PAGEREF _Toc5629723 \h </w:instrText>
        </w:r>
        <w:r w:rsidR="00761903">
          <w:rPr>
            <w:noProof/>
            <w:webHidden/>
          </w:rPr>
        </w:r>
        <w:r w:rsidR="00761903">
          <w:rPr>
            <w:noProof/>
            <w:webHidden/>
          </w:rPr>
          <w:fldChar w:fldCharType="separate"/>
        </w:r>
        <w:r w:rsidR="00761903">
          <w:rPr>
            <w:noProof/>
            <w:webHidden/>
          </w:rPr>
          <w:t>2</w:t>
        </w:r>
        <w:r w:rsidR="00761903">
          <w:rPr>
            <w:noProof/>
            <w:webHidden/>
          </w:rPr>
          <w:fldChar w:fldCharType="end"/>
        </w:r>
      </w:hyperlink>
    </w:p>
    <w:p w14:paraId="23BAFFCE" w14:textId="50795B85" w:rsidR="00761903" w:rsidRDefault="00300C2A">
      <w:pPr>
        <w:pStyle w:val="TOC3"/>
        <w:tabs>
          <w:tab w:val="left" w:pos="1100"/>
          <w:tab w:val="right" w:leader="dot" w:pos="9060"/>
        </w:tabs>
        <w:rPr>
          <w:rFonts w:eastAsiaTheme="minorEastAsia" w:cstheme="minorBidi"/>
          <w:i w:val="0"/>
          <w:iCs w:val="0"/>
          <w:noProof/>
          <w:sz w:val="22"/>
          <w:szCs w:val="22"/>
          <w:lang w:eastAsia="en-GB" w:bidi="ar-SA"/>
        </w:rPr>
      </w:pPr>
      <w:hyperlink w:anchor="_Toc5629724" w:history="1">
        <w:r w:rsidR="00761903" w:rsidRPr="00696DBF">
          <w:rPr>
            <w:rStyle w:val="Hyperlink"/>
            <w:noProof/>
          </w:rPr>
          <w:t>2.1.1</w:t>
        </w:r>
        <w:r w:rsidR="00761903">
          <w:rPr>
            <w:rFonts w:eastAsiaTheme="minorEastAsia" w:cstheme="minorBidi"/>
            <w:i w:val="0"/>
            <w:iCs w:val="0"/>
            <w:noProof/>
            <w:sz w:val="22"/>
            <w:szCs w:val="22"/>
            <w:lang w:eastAsia="en-GB" w:bidi="ar-SA"/>
          </w:rPr>
          <w:tab/>
        </w:r>
        <w:r w:rsidR="00761903" w:rsidRPr="00696DBF">
          <w:rPr>
            <w:rStyle w:val="Hyperlink"/>
            <w:noProof/>
          </w:rPr>
          <w:t>Identity of the enzyme</w:t>
        </w:r>
        <w:r w:rsidR="00761903">
          <w:rPr>
            <w:noProof/>
            <w:webHidden/>
          </w:rPr>
          <w:tab/>
        </w:r>
        <w:r w:rsidR="00761903">
          <w:rPr>
            <w:noProof/>
            <w:webHidden/>
          </w:rPr>
          <w:fldChar w:fldCharType="begin"/>
        </w:r>
        <w:r w:rsidR="00761903">
          <w:rPr>
            <w:noProof/>
            <w:webHidden/>
          </w:rPr>
          <w:instrText xml:space="preserve"> PAGEREF _Toc5629724 \h </w:instrText>
        </w:r>
        <w:r w:rsidR="00761903">
          <w:rPr>
            <w:noProof/>
            <w:webHidden/>
          </w:rPr>
        </w:r>
        <w:r w:rsidR="00761903">
          <w:rPr>
            <w:noProof/>
            <w:webHidden/>
          </w:rPr>
          <w:fldChar w:fldCharType="separate"/>
        </w:r>
        <w:r w:rsidR="00761903">
          <w:rPr>
            <w:noProof/>
            <w:webHidden/>
          </w:rPr>
          <w:t>2</w:t>
        </w:r>
        <w:r w:rsidR="00761903">
          <w:rPr>
            <w:noProof/>
            <w:webHidden/>
          </w:rPr>
          <w:fldChar w:fldCharType="end"/>
        </w:r>
      </w:hyperlink>
    </w:p>
    <w:p w14:paraId="57F45993" w14:textId="09C5F5B7" w:rsidR="00761903" w:rsidRDefault="00300C2A">
      <w:pPr>
        <w:pStyle w:val="TOC3"/>
        <w:tabs>
          <w:tab w:val="left" w:pos="1100"/>
          <w:tab w:val="right" w:leader="dot" w:pos="9060"/>
        </w:tabs>
        <w:rPr>
          <w:rFonts w:eastAsiaTheme="minorEastAsia" w:cstheme="minorBidi"/>
          <w:i w:val="0"/>
          <w:iCs w:val="0"/>
          <w:noProof/>
          <w:sz w:val="22"/>
          <w:szCs w:val="22"/>
          <w:lang w:eastAsia="en-GB" w:bidi="ar-SA"/>
        </w:rPr>
      </w:pPr>
      <w:hyperlink w:anchor="_Toc5629725" w:history="1">
        <w:r w:rsidR="00761903" w:rsidRPr="00696DBF">
          <w:rPr>
            <w:rStyle w:val="Hyperlink"/>
            <w:noProof/>
          </w:rPr>
          <w:t>2.1.2</w:t>
        </w:r>
        <w:r w:rsidR="00761903">
          <w:rPr>
            <w:rFonts w:eastAsiaTheme="minorEastAsia" w:cstheme="minorBidi"/>
            <w:i w:val="0"/>
            <w:iCs w:val="0"/>
            <w:noProof/>
            <w:sz w:val="22"/>
            <w:szCs w:val="22"/>
            <w:lang w:eastAsia="en-GB" w:bidi="ar-SA"/>
          </w:rPr>
          <w:tab/>
        </w:r>
        <w:r w:rsidR="00761903" w:rsidRPr="00696DBF">
          <w:rPr>
            <w:rStyle w:val="Hyperlink"/>
            <w:noProof/>
          </w:rPr>
          <w:t>Technological purpose of the enzyme</w:t>
        </w:r>
        <w:r w:rsidR="00761903">
          <w:rPr>
            <w:noProof/>
            <w:webHidden/>
          </w:rPr>
          <w:tab/>
        </w:r>
        <w:r w:rsidR="00761903">
          <w:rPr>
            <w:noProof/>
            <w:webHidden/>
          </w:rPr>
          <w:fldChar w:fldCharType="begin"/>
        </w:r>
        <w:r w:rsidR="00761903">
          <w:rPr>
            <w:noProof/>
            <w:webHidden/>
          </w:rPr>
          <w:instrText xml:space="preserve"> PAGEREF _Toc5629725 \h </w:instrText>
        </w:r>
        <w:r w:rsidR="00761903">
          <w:rPr>
            <w:noProof/>
            <w:webHidden/>
          </w:rPr>
        </w:r>
        <w:r w:rsidR="00761903">
          <w:rPr>
            <w:noProof/>
            <w:webHidden/>
          </w:rPr>
          <w:fldChar w:fldCharType="separate"/>
        </w:r>
        <w:r w:rsidR="00761903">
          <w:rPr>
            <w:noProof/>
            <w:webHidden/>
          </w:rPr>
          <w:t>3</w:t>
        </w:r>
        <w:r w:rsidR="00761903">
          <w:rPr>
            <w:noProof/>
            <w:webHidden/>
          </w:rPr>
          <w:fldChar w:fldCharType="end"/>
        </w:r>
      </w:hyperlink>
    </w:p>
    <w:p w14:paraId="541D5124" w14:textId="411CE565" w:rsidR="00761903" w:rsidRDefault="00300C2A">
      <w:pPr>
        <w:pStyle w:val="TOC3"/>
        <w:tabs>
          <w:tab w:val="left" w:pos="1100"/>
          <w:tab w:val="right" w:leader="dot" w:pos="9060"/>
        </w:tabs>
        <w:rPr>
          <w:rFonts w:eastAsiaTheme="minorEastAsia" w:cstheme="minorBidi"/>
          <w:i w:val="0"/>
          <w:iCs w:val="0"/>
          <w:noProof/>
          <w:sz w:val="22"/>
          <w:szCs w:val="22"/>
          <w:lang w:eastAsia="en-GB" w:bidi="ar-SA"/>
        </w:rPr>
      </w:pPr>
      <w:hyperlink w:anchor="_Toc5629726" w:history="1">
        <w:r w:rsidR="00761903" w:rsidRPr="00696DBF">
          <w:rPr>
            <w:rStyle w:val="Hyperlink"/>
            <w:noProof/>
          </w:rPr>
          <w:t>2.1.3</w:t>
        </w:r>
        <w:r w:rsidR="00761903">
          <w:rPr>
            <w:rFonts w:eastAsiaTheme="minorEastAsia" w:cstheme="minorBidi"/>
            <w:i w:val="0"/>
            <w:iCs w:val="0"/>
            <w:noProof/>
            <w:sz w:val="22"/>
            <w:szCs w:val="22"/>
            <w:lang w:eastAsia="en-GB" w:bidi="ar-SA"/>
          </w:rPr>
          <w:tab/>
        </w:r>
        <w:r w:rsidR="00761903" w:rsidRPr="00696DBF">
          <w:rPr>
            <w:rStyle w:val="Hyperlink"/>
            <w:noProof/>
          </w:rPr>
          <w:t>Technological justification of the enzyme</w:t>
        </w:r>
        <w:r w:rsidR="00761903">
          <w:rPr>
            <w:noProof/>
            <w:webHidden/>
          </w:rPr>
          <w:tab/>
        </w:r>
        <w:r w:rsidR="00761903">
          <w:rPr>
            <w:noProof/>
            <w:webHidden/>
          </w:rPr>
          <w:fldChar w:fldCharType="begin"/>
        </w:r>
        <w:r w:rsidR="00761903">
          <w:rPr>
            <w:noProof/>
            <w:webHidden/>
          </w:rPr>
          <w:instrText xml:space="preserve"> PAGEREF _Toc5629726 \h </w:instrText>
        </w:r>
        <w:r w:rsidR="00761903">
          <w:rPr>
            <w:noProof/>
            <w:webHidden/>
          </w:rPr>
        </w:r>
        <w:r w:rsidR="00761903">
          <w:rPr>
            <w:noProof/>
            <w:webHidden/>
          </w:rPr>
          <w:fldChar w:fldCharType="separate"/>
        </w:r>
        <w:r w:rsidR="00761903">
          <w:rPr>
            <w:noProof/>
            <w:webHidden/>
          </w:rPr>
          <w:t>4</w:t>
        </w:r>
        <w:r w:rsidR="00761903">
          <w:rPr>
            <w:noProof/>
            <w:webHidden/>
          </w:rPr>
          <w:fldChar w:fldCharType="end"/>
        </w:r>
      </w:hyperlink>
    </w:p>
    <w:p w14:paraId="03BEABC5" w14:textId="156E5721" w:rsidR="00761903" w:rsidRDefault="00300C2A">
      <w:pPr>
        <w:pStyle w:val="TOC2"/>
        <w:tabs>
          <w:tab w:val="left" w:pos="880"/>
          <w:tab w:val="right" w:leader="dot" w:pos="9060"/>
        </w:tabs>
        <w:rPr>
          <w:rFonts w:eastAsiaTheme="minorEastAsia" w:cstheme="minorBidi"/>
          <w:smallCaps w:val="0"/>
          <w:noProof/>
          <w:sz w:val="22"/>
          <w:szCs w:val="22"/>
          <w:lang w:eastAsia="en-GB" w:bidi="ar-SA"/>
        </w:rPr>
      </w:pPr>
      <w:hyperlink w:anchor="_Toc5629727" w:history="1">
        <w:r w:rsidR="00761903" w:rsidRPr="00696DBF">
          <w:rPr>
            <w:rStyle w:val="Hyperlink"/>
            <w:noProof/>
          </w:rPr>
          <w:t>2.2</w:t>
        </w:r>
        <w:r w:rsidR="00761903">
          <w:rPr>
            <w:rFonts w:eastAsiaTheme="minorEastAsia" w:cstheme="minorBidi"/>
            <w:smallCaps w:val="0"/>
            <w:noProof/>
            <w:sz w:val="22"/>
            <w:szCs w:val="22"/>
            <w:lang w:eastAsia="en-GB" w:bidi="ar-SA"/>
          </w:rPr>
          <w:tab/>
        </w:r>
        <w:r w:rsidR="00761903" w:rsidRPr="00696DBF">
          <w:rPr>
            <w:rStyle w:val="Hyperlink"/>
            <w:noProof/>
          </w:rPr>
          <w:t>Manufacturing process</w:t>
        </w:r>
        <w:r w:rsidR="00761903">
          <w:rPr>
            <w:noProof/>
            <w:webHidden/>
          </w:rPr>
          <w:tab/>
        </w:r>
        <w:r w:rsidR="00761903">
          <w:rPr>
            <w:noProof/>
            <w:webHidden/>
          </w:rPr>
          <w:fldChar w:fldCharType="begin"/>
        </w:r>
        <w:r w:rsidR="00761903">
          <w:rPr>
            <w:noProof/>
            <w:webHidden/>
          </w:rPr>
          <w:instrText xml:space="preserve"> PAGEREF _Toc5629727 \h </w:instrText>
        </w:r>
        <w:r w:rsidR="00761903">
          <w:rPr>
            <w:noProof/>
            <w:webHidden/>
          </w:rPr>
        </w:r>
        <w:r w:rsidR="00761903">
          <w:rPr>
            <w:noProof/>
            <w:webHidden/>
          </w:rPr>
          <w:fldChar w:fldCharType="separate"/>
        </w:r>
        <w:r w:rsidR="00761903">
          <w:rPr>
            <w:noProof/>
            <w:webHidden/>
          </w:rPr>
          <w:t>5</w:t>
        </w:r>
        <w:r w:rsidR="00761903">
          <w:rPr>
            <w:noProof/>
            <w:webHidden/>
          </w:rPr>
          <w:fldChar w:fldCharType="end"/>
        </w:r>
      </w:hyperlink>
    </w:p>
    <w:p w14:paraId="44D0684D" w14:textId="5D275EB1" w:rsidR="00761903" w:rsidRDefault="00300C2A">
      <w:pPr>
        <w:pStyle w:val="TOC3"/>
        <w:tabs>
          <w:tab w:val="left" w:pos="1100"/>
          <w:tab w:val="right" w:leader="dot" w:pos="9060"/>
        </w:tabs>
        <w:rPr>
          <w:rFonts w:eastAsiaTheme="minorEastAsia" w:cstheme="minorBidi"/>
          <w:i w:val="0"/>
          <w:iCs w:val="0"/>
          <w:noProof/>
          <w:sz w:val="22"/>
          <w:szCs w:val="22"/>
          <w:lang w:eastAsia="en-GB" w:bidi="ar-SA"/>
        </w:rPr>
      </w:pPr>
      <w:hyperlink w:anchor="_Toc5629728" w:history="1">
        <w:r w:rsidR="00761903" w:rsidRPr="00696DBF">
          <w:rPr>
            <w:rStyle w:val="Hyperlink"/>
            <w:noProof/>
          </w:rPr>
          <w:t>2.2.1</w:t>
        </w:r>
        <w:r w:rsidR="00761903">
          <w:rPr>
            <w:rFonts w:eastAsiaTheme="minorEastAsia" w:cstheme="minorBidi"/>
            <w:i w:val="0"/>
            <w:iCs w:val="0"/>
            <w:noProof/>
            <w:sz w:val="22"/>
            <w:szCs w:val="22"/>
            <w:lang w:eastAsia="en-GB" w:bidi="ar-SA"/>
          </w:rPr>
          <w:tab/>
        </w:r>
        <w:r w:rsidR="00761903" w:rsidRPr="00696DBF">
          <w:rPr>
            <w:rStyle w:val="Hyperlink"/>
            <w:noProof/>
          </w:rPr>
          <w:t>Production of the enzyme</w:t>
        </w:r>
        <w:r w:rsidR="00761903">
          <w:rPr>
            <w:noProof/>
            <w:webHidden/>
          </w:rPr>
          <w:tab/>
        </w:r>
        <w:r w:rsidR="00761903">
          <w:rPr>
            <w:noProof/>
            <w:webHidden/>
          </w:rPr>
          <w:fldChar w:fldCharType="begin"/>
        </w:r>
        <w:r w:rsidR="00761903">
          <w:rPr>
            <w:noProof/>
            <w:webHidden/>
          </w:rPr>
          <w:instrText xml:space="preserve"> PAGEREF _Toc5629728 \h </w:instrText>
        </w:r>
        <w:r w:rsidR="00761903">
          <w:rPr>
            <w:noProof/>
            <w:webHidden/>
          </w:rPr>
        </w:r>
        <w:r w:rsidR="00761903">
          <w:rPr>
            <w:noProof/>
            <w:webHidden/>
          </w:rPr>
          <w:fldChar w:fldCharType="separate"/>
        </w:r>
        <w:r w:rsidR="00761903">
          <w:rPr>
            <w:noProof/>
            <w:webHidden/>
          </w:rPr>
          <w:t>5</w:t>
        </w:r>
        <w:r w:rsidR="00761903">
          <w:rPr>
            <w:noProof/>
            <w:webHidden/>
          </w:rPr>
          <w:fldChar w:fldCharType="end"/>
        </w:r>
      </w:hyperlink>
    </w:p>
    <w:p w14:paraId="0A3E339C" w14:textId="7BEC7678" w:rsidR="00761903" w:rsidRDefault="00300C2A">
      <w:pPr>
        <w:pStyle w:val="TOC3"/>
        <w:tabs>
          <w:tab w:val="left" w:pos="1100"/>
          <w:tab w:val="right" w:leader="dot" w:pos="9060"/>
        </w:tabs>
        <w:rPr>
          <w:rFonts w:eastAsiaTheme="minorEastAsia" w:cstheme="minorBidi"/>
          <w:i w:val="0"/>
          <w:iCs w:val="0"/>
          <w:noProof/>
          <w:sz w:val="22"/>
          <w:szCs w:val="22"/>
          <w:lang w:eastAsia="en-GB" w:bidi="ar-SA"/>
        </w:rPr>
      </w:pPr>
      <w:hyperlink w:anchor="_Toc5629729" w:history="1">
        <w:r w:rsidR="00761903" w:rsidRPr="00696DBF">
          <w:rPr>
            <w:rStyle w:val="Hyperlink"/>
            <w:noProof/>
          </w:rPr>
          <w:t>2.2.2</w:t>
        </w:r>
        <w:r w:rsidR="00761903">
          <w:rPr>
            <w:rFonts w:eastAsiaTheme="minorEastAsia" w:cstheme="minorBidi"/>
            <w:i w:val="0"/>
            <w:iCs w:val="0"/>
            <w:noProof/>
            <w:sz w:val="22"/>
            <w:szCs w:val="22"/>
            <w:lang w:eastAsia="en-GB" w:bidi="ar-SA"/>
          </w:rPr>
          <w:tab/>
        </w:r>
        <w:r w:rsidR="00761903" w:rsidRPr="00696DBF">
          <w:rPr>
            <w:rStyle w:val="Hyperlink"/>
            <w:noProof/>
          </w:rPr>
          <w:t>Specifications</w:t>
        </w:r>
        <w:r w:rsidR="00761903">
          <w:rPr>
            <w:noProof/>
            <w:webHidden/>
          </w:rPr>
          <w:tab/>
        </w:r>
        <w:r w:rsidR="00761903">
          <w:rPr>
            <w:noProof/>
            <w:webHidden/>
          </w:rPr>
          <w:fldChar w:fldCharType="begin"/>
        </w:r>
        <w:r w:rsidR="00761903">
          <w:rPr>
            <w:noProof/>
            <w:webHidden/>
          </w:rPr>
          <w:instrText xml:space="preserve"> PAGEREF _Toc5629729 \h </w:instrText>
        </w:r>
        <w:r w:rsidR="00761903">
          <w:rPr>
            <w:noProof/>
            <w:webHidden/>
          </w:rPr>
        </w:r>
        <w:r w:rsidR="00761903">
          <w:rPr>
            <w:noProof/>
            <w:webHidden/>
          </w:rPr>
          <w:fldChar w:fldCharType="separate"/>
        </w:r>
        <w:r w:rsidR="00761903">
          <w:rPr>
            <w:noProof/>
            <w:webHidden/>
          </w:rPr>
          <w:t>6</w:t>
        </w:r>
        <w:r w:rsidR="00761903">
          <w:rPr>
            <w:noProof/>
            <w:webHidden/>
          </w:rPr>
          <w:fldChar w:fldCharType="end"/>
        </w:r>
      </w:hyperlink>
    </w:p>
    <w:p w14:paraId="0F4E8ECA" w14:textId="050475FA" w:rsidR="00761903" w:rsidRDefault="00300C2A">
      <w:pPr>
        <w:pStyle w:val="TOC2"/>
        <w:tabs>
          <w:tab w:val="left" w:pos="880"/>
          <w:tab w:val="right" w:leader="dot" w:pos="9060"/>
        </w:tabs>
        <w:rPr>
          <w:rFonts w:eastAsiaTheme="minorEastAsia" w:cstheme="minorBidi"/>
          <w:smallCaps w:val="0"/>
          <w:noProof/>
          <w:sz w:val="22"/>
          <w:szCs w:val="22"/>
          <w:lang w:eastAsia="en-GB" w:bidi="ar-SA"/>
        </w:rPr>
      </w:pPr>
      <w:hyperlink w:anchor="_Toc5629730" w:history="1">
        <w:r w:rsidR="00761903" w:rsidRPr="00696DBF">
          <w:rPr>
            <w:rStyle w:val="Hyperlink"/>
            <w:noProof/>
          </w:rPr>
          <w:t>2.3</w:t>
        </w:r>
        <w:r w:rsidR="00761903">
          <w:rPr>
            <w:rFonts w:eastAsiaTheme="minorEastAsia" w:cstheme="minorBidi"/>
            <w:smallCaps w:val="0"/>
            <w:noProof/>
            <w:sz w:val="22"/>
            <w:szCs w:val="22"/>
            <w:lang w:eastAsia="en-GB" w:bidi="ar-SA"/>
          </w:rPr>
          <w:tab/>
        </w:r>
        <w:r w:rsidR="00761903" w:rsidRPr="00696DBF">
          <w:rPr>
            <w:rStyle w:val="Hyperlink"/>
            <w:noProof/>
          </w:rPr>
          <w:t>Food technology conclusion</w:t>
        </w:r>
        <w:r w:rsidR="00761903">
          <w:rPr>
            <w:noProof/>
            <w:webHidden/>
          </w:rPr>
          <w:tab/>
        </w:r>
        <w:r w:rsidR="00761903">
          <w:rPr>
            <w:noProof/>
            <w:webHidden/>
          </w:rPr>
          <w:fldChar w:fldCharType="begin"/>
        </w:r>
        <w:r w:rsidR="00761903">
          <w:rPr>
            <w:noProof/>
            <w:webHidden/>
          </w:rPr>
          <w:instrText xml:space="preserve"> PAGEREF _Toc5629730 \h </w:instrText>
        </w:r>
        <w:r w:rsidR="00761903">
          <w:rPr>
            <w:noProof/>
            <w:webHidden/>
          </w:rPr>
        </w:r>
        <w:r w:rsidR="00761903">
          <w:rPr>
            <w:noProof/>
            <w:webHidden/>
          </w:rPr>
          <w:fldChar w:fldCharType="separate"/>
        </w:r>
        <w:r w:rsidR="00761903">
          <w:rPr>
            <w:noProof/>
            <w:webHidden/>
          </w:rPr>
          <w:t>6</w:t>
        </w:r>
        <w:r w:rsidR="00761903">
          <w:rPr>
            <w:noProof/>
            <w:webHidden/>
          </w:rPr>
          <w:fldChar w:fldCharType="end"/>
        </w:r>
      </w:hyperlink>
    </w:p>
    <w:p w14:paraId="53C887D0" w14:textId="626B9063" w:rsidR="00761903" w:rsidRDefault="00300C2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629731" w:history="1">
        <w:r w:rsidR="00761903" w:rsidRPr="00696DBF">
          <w:rPr>
            <w:rStyle w:val="Hyperlink"/>
            <w:noProof/>
          </w:rPr>
          <w:t>3</w:t>
        </w:r>
        <w:r w:rsidR="00761903">
          <w:rPr>
            <w:rFonts w:eastAsiaTheme="minorEastAsia" w:cstheme="minorBidi"/>
            <w:b w:val="0"/>
            <w:bCs w:val="0"/>
            <w:caps w:val="0"/>
            <w:noProof/>
            <w:sz w:val="22"/>
            <w:szCs w:val="22"/>
            <w:lang w:eastAsia="en-GB" w:bidi="ar-SA"/>
          </w:rPr>
          <w:tab/>
        </w:r>
        <w:r w:rsidR="00761903" w:rsidRPr="00696DBF">
          <w:rPr>
            <w:rStyle w:val="Hyperlink"/>
            <w:noProof/>
          </w:rPr>
          <w:t>Safety assessment</w:t>
        </w:r>
        <w:r w:rsidR="00761903">
          <w:rPr>
            <w:noProof/>
            <w:webHidden/>
          </w:rPr>
          <w:tab/>
        </w:r>
        <w:r w:rsidR="00761903">
          <w:rPr>
            <w:noProof/>
            <w:webHidden/>
          </w:rPr>
          <w:fldChar w:fldCharType="begin"/>
        </w:r>
        <w:r w:rsidR="00761903">
          <w:rPr>
            <w:noProof/>
            <w:webHidden/>
          </w:rPr>
          <w:instrText xml:space="preserve"> PAGEREF _Toc5629731 \h </w:instrText>
        </w:r>
        <w:r w:rsidR="00761903">
          <w:rPr>
            <w:noProof/>
            <w:webHidden/>
          </w:rPr>
        </w:r>
        <w:r w:rsidR="00761903">
          <w:rPr>
            <w:noProof/>
            <w:webHidden/>
          </w:rPr>
          <w:fldChar w:fldCharType="separate"/>
        </w:r>
        <w:r w:rsidR="00761903">
          <w:rPr>
            <w:noProof/>
            <w:webHidden/>
          </w:rPr>
          <w:t>7</w:t>
        </w:r>
        <w:r w:rsidR="00761903">
          <w:rPr>
            <w:noProof/>
            <w:webHidden/>
          </w:rPr>
          <w:fldChar w:fldCharType="end"/>
        </w:r>
      </w:hyperlink>
    </w:p>
    <w:p w14:paraId="4F0F2BC0" w14:textId="672C55E3" w:rsidR="00761903" w:rsidRDefault="00300C2A">
      <w:pPr>
        <w:pStyle w:val="TOC2"/>
        <w:tabs>
          <w:tab w:val="left" w:pos="880"/>
          <w:tab w:val="right" w:leader="dot" w:pos="9060"/>
        </w:tabs>
        <w:rPr>
          <w:rFonts w:eastAsiaTheme="minorEastAsia" w:cstheme="minorBidi"/>
          <w:smallCaps w:val="0"/>
          <w:noProof/>
          <w:sz w:val="22"/>
          <w:szCs w:val="22"/>
          <w:lang w:eastAsia="en-GB" w:bidi="ar-SA"/>
        </w:rPr>
      </w:pPr>
      <w:hyperlink w:anchor="_Toc5629732" w:history="1">
        <w:r w:rsidR="00761903" w:rsidRPr="00696DBF">
          <w:rPr>
            <w:rStyle w:val="Hyperlink"/>
            <w:noProof/>
          </w:rPr>
          <w:t>3.1</w:t>
        </w:r>
        <w:r w:rsidR="00761903">
          <w:rPr>
            <w:rFonts w:eastAsiaTheme="minorEastAsia" w:cstheme="minorBidi"/>
            <w:smallCaps w:val="0"/>
            <w:noProof/>
            <w:sz w:val="22"/>
            <w:szCs w:val="22"/>
            <w:lang w:eastAsia="en-GB" w:bidi="ar-SA"/>
          </w:rPr>
          <w:tab/>
        </w:r>
        <w:r w:rsidR="00761903" w:rsidRPr="00696DBF">
          <w:rPr>
            <w:rStyle w:val="Hyperlink"/>
            <w:noProof/>
          </w:rPr>
          <w:t>Objectives for safety assessment</w:t>
        </w:r>
        <w:r w:rsidR="00761903">
          <w:rPr>
            <w:noProof/>
            <w:webHidden/>
          </w:rPr>
          <w:tab/>
        </w:r>
        <w:r w:rsidR="00761903">
          <w:rPr>
            <w:noProof/>
            <w:webHidden/>
          </w:rPr>
          <w:fldChar w:fldCharType="begin"/>
        </w:r>
        <w:r w:rsidR="00761903">
          <w:rPr>
            <w:noProof/>
            <w:webHidden/>
          </w:rPr>
          <w:instrText xml:space="preserve"> PAGEREF _Toc5629732 \h </w:instrText>
        </w:r>
        <w:r w:rsidR="00761903">
          <w:rPr>
            <w:noProof/>
            <w:webHidden/>
          </w:rPr>
        </w:r>
        <w:r w:rsidR="00761903">
          <w:rPr>
            <w:noProof/>
            <w:webHidden/>
          </w:rPr>
          <w:fldChar w:fldCharType="separate"/>
        </w:r>
        <w:r w:rsidR="00761903">
          <w:rPr>
            <w:noProof/>
            <w:webHidden/>
          </w:rPr>
          <w:t>7</w:t>
        </w:r>
        <w:r w:rsidR="00761903">
          <w:rPr>
            <w:noProof/>
            <w:webHidden/>
          </w:rPr>
          <w:fldChar w:fldCharType="end"/>
        </w:r>
      </w:hyperlink>
    </w:p>
    <w:p w14:paraId="140E41E4" w14:textId="740C1632" w:rsidR="00761903" w:rsidRDefault="00300C2A">
      <w:pPr>
        <w:pStyle w:val="TOC2"/>
        <w:tabs>
          <w:tab w:val="left" w:pos="880"/>
          <w:tab w:val="right" w:leader="dot" w:pos="9060"/>
        </w:tabs>
        <w:rPr>
          <w:rFonts w:eastAsiaTheme="minorEastAsia" w:cstheme="minorBidi"/>
          <w:smallCaps w:val="0"/>
          <w:noProof/>
          <w:sz w:val="22"/>
          <w:szCs w:val="22"/>
          <w:lang w:eastAsia="en-GB" w:bidi="ar-SA"/>
        </w:rPr>
      </w:pPr>
      <w:hyperlink w:anchor="_Toc5629733" w:history="1">
        <w:r w:rsidR="00761903" w:rsidRPr="00696DBF">
          <w:rPr>
            <w:rStyle w:val="Hyperlink"/>
            <w:noProof/>
          </w:rPr>
          <w:t>3.2</w:t>
        </w:r>
        <w:r w:rsidR="00761903">
          <w:rPr>
            <w:rFonts w:eastAsiaTheme="minorEastAsia" w:cstheme="minorBidi"/>
            <w:smallCaps w:val="0"/>
            <w:noProof/>
            <w:sz w:val="22"/>
            <w:szCs w:val="22"/>
            <w:lang w:eastAsia="en-GB" w:bidi="ar-SA"/>
          </w:rPr>
          <w:tab/>
        </w:r>
        <w:r w:rsidR="00761903" w:rsidRPr="00696DBF">
          <w:rPr>
            <w:rStyle w:val="Hyperlink"/>
            <w:noProof/>
          </w:rPr>
          <w:t>History of use</w:t>
        </w:r>
        <w:r w:rsidR="00761903">
          <w:rPr>
            <w:noProof/>
            <w:webHidden/>
          </w:rPr>
          <w:tab/>
        </w:r>
        <w:r w:rsidR="00761903">
          <w:rPr>
            <w:noProof/>
            <w:webHidden/>
          </w:rPr>
          <w:fldChar w:fldCharType="begin"/>
        </w:r>
        <w:r w:rsidR="00761903">
          <w:rPr>
            <w:noProof/>
            <w:webHidden/>
          </w:rPr>
          <w:instrText xml:space="preserve"> PAGEREF _Toc5629733 \h </w:instrText>
        </w:r>
        <w:r w:rsidR="00761903">
          <w:rPr>
            <w:noProof/>
            <w:webHidden/>
          </w:rPr>
        </w:r>
        <w:r w:rsidR="00761903">
          <w:rPr>
            <w:noProof/>
            <w:webHidden/>
          </w:rPr>
          <w:fldChar w:fldCharType="separate"/>
        </w:r>
        <w:r w:rsidR="00761903">
          <w:rPr>
            <w:noProof/>
            <w:webHidden/>
          </w:rPr>
          <w:t>7</w:t>
        </w:r>
        <w:r w:rsidR="00761903">
          <w:rPr>
            <w:noProof/>
            <w:webHidden/>
          </w:rPr>
          <w:fldChar w:fldCharType="end"/>
        </w:r>
      </w:hyperlink>
    </w:p>
    <w:p w14:paraId="020272D7" w14:textId="1B0EABB1" w:rsidR="00761903" w:rsidRDefault="00300C2A">
      <w:pPr>
        <w:pStyle w:val="TOC3"/>
        <w:tabs>
          <w:tab w:val="left" w:pos="1100"/>
          <w:tab w:val="right" w:leader="dot" w:pos="9060"/>
        </w:tabs>
        <w:rPr>
          <w:rFonts w:eastAsiaTheme="minorEastAsia" w:cstheme="minorBidi"/>
          <w:i w:val="0"/>
          <w:iCs w:val="0"/>
          <w:noProof/>
          <w:sz w:val="22"/>
          <w:szCs w:val="22"/>
          <w:lang w:eastAsia="en-GB" w:bidi="ar-SA"/>
        </w:rPr>
      </w:pPr>
      <w:hyperlink w:anchor="_Toc5629734" w:history="1">
        <w:r w:rsidR="00761903" w:rsidRPr="00696DBF">
          <w:rPr>
            <w:rStyle w:val="Hyperlink"/>
            <w:noProof/>
          </w:rPr>
          <w:t>3.2.1</w:t>
        </w:r>
        <w:r w:rsidR="00761903">
          <w:rPr>
            <w:rFonts w:eastAsiaTheme="minorEastAsia" w:cstheme="minorBidi"/>
            <w:i w:val="0"/>
            <w:iCs w:val="0"/>
            <w:noProof/>
            <w:sz w:val="22"/>
            <w:szCs w:val="22"/>
            <w:lang w:eastAsia="en-GB" w:bidi="ar-SA"/>
          </w:rPr>
          <w:tab/>
        </w:r>
        <w:r w:rsidR="00761903" w:rsidRPr="00696DBF">
          <w:rPr>
            <w:rStyle w:val="Hyperlink"/>
            <w:noProof/>
          </w:rPr>
          <w:t>Host organism</w:t>
        </w:r>
        <w:r w:rsidR="00761903">
          <w:rPr>
            <w:noProof/>
            <w:webHidden/>
          </w:rPr>
          <w:tab/>
        </w:r>
        <w:r w:rsidR="00761903">
          <w:rPr>
            <w:noProof/>
            <w:webHidden/>
          </w:rPr>
          <w:fldChar w:fldCharType="begin"/>
        </w:r>
        <w:r w:rsidR="00761903">
          <w:rPr>
            <w:noProof/>
            <w:webHidden/>
          </w:rPr>
          <w:instrText xml:space="preserve"> PAGEREF _Toc5629734 \h </w:instrText>
        </w:r>
        <w:r w:rsidR="00761903">
          <w:rPr>
            <w:noProof/>
            <w:webHidden/>
          </w:rPr>
        </w:r>
        <w:r w:rsidR="00761903">
          <w:rPr>
            <w:noProof/>
            <w:webHidden/>
          </w:rPr>
          <w:fldChar w:fldCharType="separate"/>
        </w:r>
        <w:r w:rsidR="00761903">
          <w:rPr>
            <w:noProof/>
            <w:webHidden/>
          </w:rPr>
          <w:t>7</w:t>
        </w:r>
        <w:r w:rsidR="00761903">
          <w:rPr>
            <w:noProof/>
            <w:webHidden/>
          </w:rPr>
          <w:fldChar w:fldCharType="end"/>
        </w:r>
      </w:hyperlink>
    </w:p>
    <w:p w14:paraId="32FC5F9F" w14:textId="1B5F6DFF" w:rsidR="00761903" w:rsidRDefault="00300C2A">
      <w:pPr>
        <w:pStyle w:val="TOC3"/>
        <w:tabs>
          <w:tab w:val="left" w:pos="1100"/>
          <w:tab w:val="right" w:leader="dot" w:pos="9060"/>
        </w:tabs>
        <w:rPr>
          <w:rFonts w:eastAsiaTheme="minorEastAsia" w:cstheme="minorBidi"/>
          <w:i w:val="0"/>
          <w:iCs w:val="0"/>
          <w:noProof/>
          <w:sz w:val="22"/>
          <w:szCs w:val="22"/>
          <w:lang w:eastAsia="en-GB" w:bidi="ar-SA"/>
        </w:rPr>
      </w:pPr>
      <w:hyperlink w:anchor="_Toc5629735" w:history="1">
        <w:r w:rsidR="00761903" w:rsidRPr="00696DBF">
          <w:rPr>
            <w:rStyle w:val="Hyperlink"/>
            <w:noProof/>
          </w:rPr>
          <w:t>3.2.2</w:t>
        </w:r>
        <w:r w:rsidR="00761903">
          <w:rPr>
            <w:rFonts w:eastAsiaTheme="minorEastAsia" w:cstheme="minorBidi"/>
            <w:i w:val="0"/>
            <w:iCs w:val="0"/>
            <w:noProof/>
            <w:sz w:val="22"/>
            <w:szCs w:val="22"/>
            <w:lang w:eastAsia="en-GB" w:bidi="ar-SA"/>
          </w:rPr>
          <w:tab/>
        </w:r>
        <w:r w:rsidR="00761903" w:rsidRPr="00696DBF">
          <w:rPr>
            <w:rStyle w:val="Hyperlink"/>
            <w:noProof/>
          </w:rPr>
          <w:t>Gene donor organism(s)</w:t>
        </w:r>
        <w:r w:rsidR="00761903">
          <w:rPr>
            <w:noProof/>
            <w:webHidden/>
          </w:rPr>
          <w:tab/>
        </w:r>
        <w:r w:rsidR="00761903">
          <w:rPr>
            <w:noProof/>
            <w:webHidden/>
          </w:rPr>
          <w:fldChar w:fldCharType="begin"/>
        </w:r>
        <w:r w:rsidR="00761903">
          <w:rPr>
            <w:noProof/>
            <w:webHidden/>
          </w:rPr>
          <w:instrText xml:space="preserve"> PAGEREF _Toc5629735 \h </w:instrText>
        </w:r>
        <w:r w:rsidR="00761903">
          <w:rPr>
            <w:noProof/>
            <w:webHidden/>
          </w:rPr>
        </w:r>
        <w:r w:rsidR="00761903">
          <w:rPr>
            <w:noProof/>
            <w:webHidden/>
          </w:rPr>
          <w:fldChar w:fldCharType="separate"/>
        </w:r>
        <w:r w:rsidR="00761903">
          <w:rPr>
            <w:noProof/>
            <w:webHidden/>
          </w:rPr>
          <w:t>7</w:t>
        </w:r>
        <w:r w:rsidR="00761903">
          <w:rPr>
            <w:noProof/>
            <w:webHidden/>
          </w:rPr>
          <w:fldChar w:fldCharType="end"/>
        </w:r>
      </w:hyperlink>
    </w:p>
    <w:p w14:paraId="16ED357A" w14:textId="20A69BAC" w:rsidR="00761903" w:rsidRDefault="00300C2A">
      <w:pPr>
        <w:pStyle w:val="TOC2"/>
        <w:tabs>
          <w:tab w:val="left" w:pos="880"/>
          <w:tab w:val="right" w:leader="dot" w:pos="9060"/>
        </w:tabs>
        <w:rPr>
          <w:rFonts w:eastAsiaTheme="minorEastAsia" w:cstheme="minorBidi"/>
          <w:smallCaps w:val="0"/>
          <w:noProof/>
          <w:sz w:val="22"/>
          <w:szCs w:val="22"/>
          <w:lang w:eastAsia="en-GB" w:bidi="ar-SA"/>
        </w:rPr>
      </w:pPr>
      <w:hyperlink w:anchor="_Toc5629736" w:history="1">
        <w:r w:rsidR="00761903" w:rsidRPr="00696DBF">
          <w:rPr>
            <w:rStyle w:val="Hyperlink"/>
            <w:noProof/>
          </w:rPr>
          <w:t>3.3</w:t>
        </w:r>
        <w:r w:rsidR="00761903">
          <w:rPr>
            <w:rFonts w:eastAsiaTheme="minorEastAsia" w:cstheme="minorBidi"/>
            <w:smallCaps w:val="0"/>
            <w:noProof/>
            <w:sz w:val="22"/>
            <w:szCs w:val="22"/>
            <w:lang w:eastAsia="en-GB" w:bidi="ar-SA"/>
          </w:rPr>
          <w:tab/>
        </w:r>
        <w:r w:rsidR="00761903" w:rsidRPr="00696DBF">
          <w:rPr>
            <w:rStyle w:val="Hyperlink"/>
            <w:noProof/>
          </w:rPr>
          <w:t>Characterisation of the genetic modification(s)</w:t>
        </w:r>
        <w:r w:rsidR="00761903">
          <w:rPr>
            <w:noProof/>
            <w:webHidden/>
          </w:rPr>
          <w:tab/>
        </w:r>
        <w:r w:rsidR="00761903">
          <w:rPr>
            <w:noProof/>
            <w:webHidden/>
          </w:rPr>
          <w:fldChar w:fldCharType="begin"/>
        </w:r>
        <w:r w:rsidR="00761903">
          <w:rPr>
            <w:noProof/>
            <w:webHidden/>
          </w:rPr>
          <w:instrText xml:space="preserve"> PAGEREF _Toc5629736 \h </w:instrText>
        </w:r>
        <w:r w:rsidR="00761903">
          <w:rPr>
            <w:noProof/>
            <w:webHidden/>
          </w:rPr>
        </w:r>
        <w:r w:rsidR="00761903">
          <w:rPr>
            <w:noProof/>
            <w:webHidden/>
          </w:rPr>
          <w:fldChar w:fldCharType="separate"/>
        </w:r>
        <w:r w:rsidR="00761903">
          <w:rPr>
            <w:noProof/>
            <w:webHidden/>
          </w:rPr>
          <w:t>8</w:t>
        </w:r>
        <w:r w:rsidR="00761903">
          <w:rPr>
            <w:noProof/>
            <w:webHidden/>
          </w:rPr>
          <w:fldChar w:fldCharType="end"/>
        </w:r>
      </w:hyperlink>
    </w:p>
    <w:p w14:paraId="25294437" w14:textId="3E009421" w:rsidR="00761903" w:rsidRDefault="00300C2A">
      <w:pPr>
        <w:pStyle w:val="TOC3"/>
        <w:tabs>
          <w:tab w:val="left" w:pos="1100"/>
          <w:tab w:val="right" w:leader="dot" w:pos="9060"/>
        </w:tabs>
        <w:rPr>
          <w:rFonts w:eastAsiaTheme="minorEastAsia" w:cstheme="minorBidi"/>
          <w:i w:val="0"/>
          <w:iCs w:val="0"/>
          <w:noProof/>
          <w:sz w:val="22"/>
          <w:szCs w:val="22"/>
          <w:lang w:eastAsia="en-GB" w:bidi="ar-SA"/>
        </w:rPr>
      </w:pPr>
      <w:hyperlink w:anchor="_Toc5629737" w:history="1">
        <w:r w:rsidR="00761903" w:rsidRPr="00696DBF">
          <w:rPr>
            <w:rStyle w:val="Hyperlink"/>
            <w:noProof/>
          </w:rPr>
          <w:t>3.3.1</w:t>
        </w:r>
        <w:r w:rsidR="00761903">
          <w:rPr>
            <w:rFonts w:eastAsiaTheme="minorEastAsia" w:cstheme="minorBidi"/>
            <w:i w:val="0"/>
            <w:iCs w:val="0"/>
            <w:noProof/>
            <w:sz w:val="22"/>
            <w:szCs w:val="22"/>
            <w:lang w:eastAsia="en-GB" w:bidi="ar-SA"/>
          </w:rPr>
          <w:tab/>
        </w:r>
        <w:r w:rsidR="00761903" w:rsidRPr="00696DBF">
          <w:rPr>
            <w:rStyle w:val="Hyperlink"/>
            <w:noProof/>
          </w:rPr>
          <w:t>Description of DNA to be introduced and method of transformation</w:t>
        </w:r>
        <w:r w:rsidR="00761903">
          <w:rPr>
            <w:noProof/>
            <w:webHidden/>
          </w:rPr>
          <w:tab/>
        </w:r>
        <w:r w:rsidR="00761903">
          <w:rPr>
            <w:noProof/>
            <w:webHidden/>
          </w:rPr>
          <w:fldChar w:fldCharType="begin"/>
        </w:r>
        <w:r w:rsidR="00761903">
          <w:rPr>
            <w:noProof/>
            <w:webHidden/>
          </w:rPr>
          <w:instrText xml:space="preserve"> PAGEREF _Toc5629737 \h </w:instrText>
        </w:r>
        <w:r w:rsidR="00761903">
          <w:rPr>
            <w:noProof/>
            <w:webHidden/>
          </w:rPr>
        </w:r>
        <w:r w:rsidR="00761903">
          <w:rPr>
            <w:noProof/>
            <w:webHidden/>
          </w:rPr>
          <w:fldChar w:fldCharType="separate"/>
        </w:r>
        <w:r w:rsidR="00761903">
          <w:rPr>
            <w:noProof/>
            <w:webHidden/>
          </w:rPr>
          <w:t>8</w:t>
        </w:r>
        <w:r w:rsidR="00761903">
          <w:rPr>
            <w:noProof/>
            <w:webHidden/>
          </w:rPr>
          <w:fldChar w:fldCharType="end"/>
        </w:r>
      </w:hyperlink>
    </w:p>
    <w:p w14:paraId="3B2AC2FB" w14:textId="1C0583EC" w:rsidR="00761903" w:rsidRDefault="00300C2A">
      <w:pPr>
        <w:pStyle w:val="TOC3"/>
        <w:tabs>
          <w:tab w:val="left" w:pos="1100"/>
          <w:tab w:val="right" w:leader="dot" w:pos="9060"/>
        </w:tabs>
        <w:rPr>
          <w:rFonts w:eastAsiaTheme="minorEastAsia" w:cstheme="minorBidi"/>
          <w:i w:val="0"/>
          <w:iCs w:val="0"/>
          <w:noProof/>
          <w:sz w:val="22"/>
          <w:szCs w:val="22"/>
          <w:lang w:eastAsia="en-GB" w:bidi="ar-SA"/>
        </w:rPr>
      </w:pPr>
      <w:hyperlink w:anchor="_Toc5629738" w:history="1">
        <w:r w:rsidR="00761903" w:rsidRPr="00696DBF">
          <w:rPr>
            <w:rStyle w:val="Hyperlink"/>
            <w:noProof/>
          </w:rPr>
          <w:t>3.3.2</w:t>
        </w:r>
        <w:r w:rsidR="00761903">
          <w:rPr>
            <w:rFonts w:eastAsiaTheme="minorEastAsia" w:cstheme="minorBidi"/>
            <w:i w:val="0"/>
            <w:iCs w:val="0"/>
            <w:noProof/>
            <w:sz w:val="22"/>
            <w:szCs w:val="22"/>
            <w:lang w:eastAsia="en-GB" w:bidi="ar-SA"/>
          </w:rPr>
          <w:tab/>
        </w:r>
        <w:r w:rsidR="00761903" w:rsidRPr="00696DBF">
          <w:rPr>
            <w:rStyle w:val="Hyperlink"/>
            <w:noProof/>
          </w:rPr>
          <w:t>Characterisation of inserted DNA</w:t>
        </w:r>
        <w:r w:rsidR="00761903">
          <w:rPr>
            <w:noProof/>
            <w:webHidden/>
          </w:rPr>
          <w:tab/>
        </w:r>
        <w:r w:rsidR="00761903">
          <w:rPr>
            <w:noProof/>
            <w:webHidden/>
          </w:rPr>
          <w:fldChar w:fldCharType="begin"/>
        </w:r>
        <w:r w:rsidR="00761903">
          <w:rPr>
            <w:noProof/>
            <w:webHidden/>
          </w:rPr>
          <w:instrText xml:space="preserve"> PAGEREF _Toc5629738 \h </w:instrText>
        </w:r>
        <w:r w:rsidR="00761903">
          <w:rPr>
            <w:noProof/>
            <w:webHidden/>
          </w:rPr>
        </w:r>
        <w:r w:rsidR="00761903">
          <w:rPr>
            <w:noProof/>
            <w:webHidden/>
          </w:rPr>
          <w:fldChar w:fldCharType="separate"/>
        </w:r>
        <w:r w:rsidR="00761903">
          <w:rPr>
            <w:noProof/>
            <w:webHidden/>
          </w:rPr>
          <w:t>9</w:t>
        </w:r>
        <w:r w:rsidR="00761903">
          <w:rPr>
            <w:noProof/>
            <w:webHidden/>
          </w:rPr>
          <w:fldChar w:fldCharType="end"/>
        </w:r>
      </w:hyperlink>
    </w:p>
    <w:p w14:paraId="7286D838" w14:textId="1882C6D4" w:rsidR="00761903" w:rsidRDefault="00300C2A">
      <w:pPr>
        <w:pStyle w:val="TOC3"/>
        <w:tabs>
          <w:tab w:val="left" w:pos="1100"/>
          <w:tab w:val="right" w:leader="dot" w:pos="9060"/>
        </w:tabs>
        <w:rPr>
          <w:rFonts w:eastAsiaTheme="minorEastAsia" w:cstheme="minorBidi"/>
          <w:i w:val="0"/>
          <w:iCs w:val="0"/>
          <w:noProof/>
          <w:sz w:val="22"/>
          <w:szCs w:val="22"/>
          <w:lang w:eastAsia="en-GB" w:bidi="ar-SA"/>
        </w:rPr>
      </w:pPr>
      <w:hyperlink w:anchor="_Toc5629739" w:history="1">
        <w:r w:rsidR="00761903" w:rsidRPr="00696DBF">
          <w:rPr>
            <w:rStyle w:val="Hyperlink"/>
            <w:noProof/>
          </w:rPr>
          <w:t>3.3.3</w:t>
        </w:r>
        <w:r w:rsidR="00761903">
          <w:rPr>
            <w:rFonts w:eastAsiaTheme="minorEastAsia" w:cstheme="minorBidi"/>
            <w:i w:val="0"/>
            <w:iCs w:val="0"/>
            <w:noProof/>
            <w:sz w:val="22"/>
            <w:szCs w:val="22"/>
            <w:lang w:eastAsia="en-GB" w:bidi="ar-SA"/>
          </w:rPr>
          <w:tab/>
        </w:r>
        <w:r w:rsidR="00761903" w:rsidRPr="00696DBF">
          <w:rPr>
            <w:rStyle w:val="Hyperlink"/>
            <w:noProof/>
          </w:rPr>
          <w:t>Genetic stability of the inserted gene</w:t>
        </w:r>
        <w:r w:rsidR="00761903">
          <w:rPr>
            <w:noProof/>
            <w:webHidden/>
          </w:rPr>
          <w:tab/>
        </w:r>
        <w:r w:rsidR="00761903">
          <w:rPr>
            <w:noProof/>
            <w:webHidden/>
          </w:rPr>
          <w:fldChar w:fldCharType="begin"/>
        </w:r>
        <w:r w:rsidR="00761903">
          <w:rPr>
            <w:noProof/>
            <w:webHidden/>
          </w:rPr>
          <w:instrText xml:space="preserve"> PAGEREF _Toc5629739 \h </w:instrText>
        </w:r>
        <w:r w:rsidR="00761903">
          <w:rPr>
            <w:noProof/>
            <w:webHidden/>
          </w:rPr>
        </w:r>
        <w:r w:rsidR="00761903">
          <w:rPr>
            <w:noProof/>
            <w:webHidden/>
          </w:rPr>
          <w:fldChar w:fldCharType="separate"/>
        </w:r>
        <w:r w:rsidR="00761903">
          <w:rPr>
            <w:noProof/>
            <w:webHidden/>
          </w:rPr>
          <w:t>9</w:t>
        </w:r>
        <w:r w:rsidR="00761903">
          <w:rPr>
            <w:noProof/>
            <w:webHidden/>
          </w:rPr>
          <w:fldChar w:fldCharType="end"/>
        </w:r>
      </w:hyperlink>
    </w:p>
    <w:p w14:paraId="3A21CFA9" w14:textId="20412C64" w:rsidR="00761903" w:rsidRDefault="00300C2A">
      <w:pPr>
        <w:pStyle w:val="TOC2"/>
        <w:tabs>
          <w:tab w:val="left" w:pos="880"/>
          <w:tab w:val="right" w:leader="dot" w:pos="9060"/>
        </w:tabs>
        <w:rPr>
          <w:rFonts w:eastAsiaTheme="minorEastAsia" w:cstheme="minorBidi"/>
          <w:smallCaps w:val="0"/>
          <w:noProof/>
          <w:sz w:val="22"/>
          <w:szCs w:val="22"/>
          <w:lang w:eastAsia="en-GB" w:bidi="ar-SA"/>
        </w:rPr>
      </w:pPr>
      <w:hyperlink w:anchor="_Toc5629740" w:history="1">
        <w:r w:rsidR="00761903" w:rsidRPr="00696DBF">
          <w:rPr>
            <w:rStyle w:val="Hyperlink"/>
            <w:noProof/>
          </w:rPr>
          <w:t>3.4</w:t>
        </w:r>
        <w:r w:rsidR="00761903">
          <w:rPr>
            <w:rFonts w:eastAsiaTheme="minorEastAsia" w:cstheme="minorBidi"/>
            <w:smallCaps w:val="0"/>
            <w:noProof/>
            <w:sz w:val="22"/>
            <w:szCs w:val="22"/>
            <w:lang w:eastAsia="en-GB" w:bidi="ar-SA"/>
          </w:rPr>
          <w:tab/>
        </w:r>
        <w:r w:rsidR="00761903" w:rsidRPr="00696DBF">
          <w:rPr>
            <w:rStyle w:val="Hyperlink"/>
            <w:noProof/>
          </w:rPr>
          <w:t>Safety of glucoamylase</w:t>
        </w:r>
        <w:r w:rsidR="00761903">
          <w:rPr>
            <w:noProof/>
            <w:webHidden/>
          </w:rPr>
          <w:tab/>
        </w:r>
        <w:r w:rsidR="00761903">
          <w:rPr>
            <w:noProof/>
            <w:webHidden/>
          </w:rPr>
          <w:fldChar w:fldCharType="begin"/>
        </w:r>
        <w:r w:rsidR="00761903">
          <w:rPr>
            <w:noProof/>
            <w:webHidden/>
          </w:rPr>
          <w:instrText xml:space="preserve"> PAGEREF _Toc5629740 \h </w:instrText>
        </w:r>
        <w:r w:rsidR="00761903">
          <w:rPr>
            <w:noProof/>
            <w:webHidden/>
          </w:rPr>
        </w:r>
        <w:r w:rsidR="00761903">
          <w:rPr>
            <w:noProof/>
            <w:webHidden/>
          </w:rPr>
          <w:fldChar w:fldCharType="separate"/>
        </w:r>
        <w:r w:rsidR="00761903">
          <w:rPr>
            <w:noProof/>
            <w:webHidden/>
          </w:rPr>
          <w:t>10</w:t>
        </w:r>
        <w:r w:rsidR="00761903">
          <w:rPr>
            <w:noProof/>
            <w:webHidden/>
          </w:rPr>
          <w:fldChar w:fldCharType="end"/>
        </w:r>
      </w:hyperlink>
    </w:p>
    <w:p w14:paraId="3E284EDA" w14:textId="6B01ADA6" w:rsidR="00761903" w:rsidRDefault="00300C2A">
      <w:pPr>
        <w:pStyle w:val="TOC3"/>
        <w:tabs>
          <w:tab w:val="left" w:pos="1100"/>
          <w:tab w:val="right" w:leader="dot" w:pos="9060"/>
        </w:tabs>
        <w:rPr>
          <w:rFonts w:eastAsiaTheme="minorEastAsia" w:cstheme="minorBidi"/>
          <w:i w:val="0"/>
          <w:iCs w:val="0"/>
          <w:noProof/>
          <w:sz w:val="22"/>
          <w:szCs w:val="22"/>
          <w:lang w:eastAsia="en-GB" w:bidi="ar-SA"/>
        </w:rPr>
      </w:pPr>
      <w:hyperlink w:anchor="_Toc5629741" w:history="1">
        <w:r w:rsidR="00761903" w:rsidRPr="00696DBF">
          <w:rPr>
            <w:rStyle w:val="Hyperlink"/>
            <w:noProof/>
          </w:rPr>
          <w:t>3.4.1</w:t>
        </w:r>
        <w:r w:rsidR="00761903">
          <w:rPr>
            <w:rFonts w:eastAsiaTheme="minorEastAsia" w:cstheme="minorBidi"/>
            <w:i w:val="0"/>
            <w:iCs w:val="0"/>
            <w:noProof/>
            <w:sz w:val="22"/>
            <w:szCs w:val="22"/>
            <w:lang w:eastAsia="en-GB" w:bidi="ar-SA"/>
          </w:rPr>
          <w:tab/>
        </w:r>
        <w:r w:rsidR="00761903" w:rsidRPr="00696DBF">
          <w:rPr>
            <w:rStyle w:val="Hyperlink"/>
            <w:noProof/>
          </w:rPr>
          <w:t>History of safe use of the enzyme</w:t>
        </w:r>
        <w:r w:rsidR="00761903">
          <w:rPr>
            <w:noProof/>
            <w:webHidden/>
          </w:rPr>
          <w:tab/>
        </w:r>
        <w:r w:rsidR="00761903">
          <w:rPr>
            <w:noProof/>
            <w:webHidden/>
          </w:rPr>
          <w:fldChar w:fldCharType="begin"/>
        </w:r>
        <w:r w:rsidR="00761903">
          <w:rPr>
            <w:noProof/>
            <w:webHidden/>
          </w:rPr>
          <w:instrText xml:space="preserve"> PAGEREF _Toc5629741 \h </w:instrText>
        </w:r>
        <w:r w:rsidR="00761903">
          <w:rPr>
            <w:noProof/>
            <w:webHidden/>
          </w:rPr>
        </w:r>
        <w:r w:rsidR="00761903">
          <w:rPr>
            <w:noProof/>
            <w:webHidden/>
          </w:rPr>
          <w:fldChar w:fldCharType="separate"/>
        </w:r>
        <w:r w:rsidR="00761903">
          <w:rPr>
            <w:noProof/>
            <w:webHidden/>
          </w:rPr>
          <w:t>10</w:t>
        </w:r>
        <w:r w:rsidR="00761903">
          <w:rPr>
            <w:noProof/>
            <w:webHidden/>
          </w:rPr>
          <w:fldChar w:fldCharType="end"/>
        </w:r>
      </w:hyperlink>
    </w:p>
    <w:p w14:paraId="2B65CD79" w14:textId="409EBF5F" w:rsidR="00761903" w:rsidRDefault="00300C2A">
      <w:pPr>
        <w:pStyle w:val="TOC3"/>
        <w:tabs>
          <w:tab w:val="left" w:pos="1100"/>
          <w:tab w:val="right" w:leader="dot" w:pos="9060"/>
        </w:tabs>
        <w:rPr>
          <w:rFonts w:eastAsiaTheme="minorEastAsia" w:cstheme="minorBidi"/>
          <w:i w:val="0"/>
          <w:iCs w:val="0"/>
          <w:noProof/>
          <w:sz w:val="22"/>
          <w:szCs w:val="22"/>
          <w:lang w:eastAsia="en-GB" w:bidi="ar-SA"/>
        </w:rPr>
      </w:pPr>
      <w:hyperlink w:anchor="_Toc5629742" w:history="1">
        <w:r w:rsidR="00761903" w:rsidRPr="00696DBF">
          <w:rPr>
            <w:rStyle w:val="Hyperlink"/>
            <w:noProof/>
          </w:rPr>
          <w:t>3.4.2</w:t>
        </w:r>
        <w:r w:rsidR="00761903">
          <w:rPr>
            <w:rFonts w:eastAsiaTheme="minorEastAsia" w:cstheme="minorBidi"/>
            <w:i w:val="0"/>
            <w:iCs w:val="0"/>
            <w:noProof/>
            <w:sz w:val="22"/>
            <w:szCs w:val="22"/>
            <w:lang w:eastAsia="en-GB" w:bidi="ar-SA"/>
          </w:rPr>
          <w:tab/>
        </w:r>
        <w:r w:rsidR="00761903" w:rsidRPr="00696DBF">
          <w:rPr>
            <w:rStyle w:val="Hyperlink"/>
            <w:noProof/>
          </w:rPr>
          <w:t>Toxicology studies in animals</w:t>
        </w:r>
        <w:r w:rsidR="00761903">
          <w:rPr>
            <w:noProof/>
            <w:webHidden/>
          </w:rPr>
          <w:tab/>
        </w:r>
        <w:r w:rsidR="00761903">
          <w:rPr>
            <w:noProof/>
            <w:webHidden/>
          </w:rPr>
          <w:fldChar w:fldCharType="begin"/>
        </w:r>
        <w:r w:rsidR="00761903">
          <w:rPr>
            <w:noProof/>
            <w:webHidden/>
          </w:rPr>
          <w:instrText xml:space="preserve"> PAGEREF _Toc5629742 \h </w:instrText>
        </w:r>
        <w:r w:rsidR="00761903">
          <w:rPr>
            <w:noProof/>
            <w:webHidden/>
          </w:rPr>
        </w:r>
        <w:r w:rsidR="00761903">
          <w:rPr>
            <w:noProof/>
            <w:webHidden/>
          </w:rPr>
          <w:fldChar w:fldCharType="separate"/>
        </w:r>
        <w:r w:rsidR="00761903">
          <w:rPr>
            <w:noProof/>
            <w:webHidden/>
          </w:rPr>
          <w:t>10</w:t>
        </w:r>
        <w:r w:rsidR="00761903">
          <w:rPr>
            <w:noProof/>
            <w:webHidden/>
          </w:rPr>
          <w:fldChar w:fldCharType="end"/>
        </w:r>
      </w:hyperlink>
    </w:p>
    <w:p w14:paraId="7B887159" w14:textId="6E7BAA61" w:rsidR="00761903" w:rsidRDefault="00300C2A">
      <w:pPr>
        <w:pStyle w:val="TOC3"/>
        <w:tabs>
          <w:tab w:val="left" w:pos="1100"/>
          <w:tab w:val="right" w:leader="dot" w:pos="9060"/>
        </w:tabs>
        <w:rPr>
          <w:rFonts w:eastAsiaTheme="minorEastAsia" w:cstheme="minorBidi"/>
          <w:i w:val="0"/>
          <w:iCs w:val="0"/>
          <w:noProof/>
          <w:sz w:val="22"/>
          <w:szCs w:val="22"/>
          <w:lang w:eastAsia="en-GB" w:bidi="ar-SA"/>
        </w:rPr>
      </w:pPr>
      <w:hyperlink w:anchor="_Toc5629743" w:history="1">
        <w:r w:rsidR="00761903" w:rsidRPr="00696DBF">
          <w:rPr>
            <w:rStyle w:val="Hyperlink"/>
            <w:noProof/>
          </w:rPr>
          <w:t>3.4.3</w:t>
        </w:r>
        <w:r w:rsidR="00761903">
          <w:rPr>
            <w:rFonts w:eastAsiaTheme="minorEastAsia" w:cstheme="minorBidi"/>
            <w:i w:val="0"/>
            <w:iCs w:val="0"/>
            <w:noProof/>
            <w:sz w:val="22"/>
            <w:szCs w:val="22"/>
            <w:lang w:eastAsia="en-GB" w:bidi="ar-SA"/>
          </w:rPr>
          <w:tab/>
        </w:r>
        <w:r w:rsidR="00761903" w:rsidRPr="00696DBF">
          <w:rPr>
            <w:rStyle w:val="Hyperlink"/>
            <w:noProof/>
          </w:rPr>
          <w:t>Genotoxicity assays</w:t>
        </w:r>
        <w:r w:rsidR="00761903">
          <w:rPr>
            <w:noProof/>
            <w:webHidden/>
          </w:rPr>
          <w:tab/>
        </w:r>
        <w:r w:rsidR="00761903">
          <w:rPr>
            <w:noProof/>
            <w:webHidden/>
          </w:rPr>
          <w:fldChar w:fldCharType="begin"/>
        </w:r>
        <w:r w:rsidR="00761903">
          <w:rPr>
            <w:noProof/>
            <w:webHidden/>
          </w:rPr>
          <w:instrText xml:space="preserve"> PAGEREF _Toc5629743 \h </w:instrText>
        </w:r>
        <w:r w:rsidR="00761903">
          <w:rPr>
            <w:noProof/>
            <w:webHidden/>
          </w:rPr>
        </w:r>
        <w:r w:rsidR="00761903">
          <w:rPr>
            <w:noProof/>
            <w:webHidden/>
          </w:rPr>
          <w:fldChar w:fldCharType="separate"/>
        </w:r>
        <w:r w:rsidR="00761903">
          <w:rPr>
            <w:noProof/>
            <w:webHidden/>
          </w:rPr>
          <w:t>12</w:t>
        </w:r>
        <w:r w:rsidR="00761903">
          <w:rPr>
            <w:noProof/>
            <w:webHidden/>
          </w:rPr>
          <w:fldChar w:fldCharType="end"/>
        </w:r>
      </w:hyperlink>
    </w:p>
    <w:p w14:paraId="3C714DBB" w14:textId="0B5EAD0F" w:rsidR="00761903" w:rsidRDefault="00300C2A">
      <w:pPr>
        <w:pStyle w:val="TOC3"/>
        <w:tabs>
          <w:tab w:val="left" w:pos="1100"/>
          <w:tab w:val="right" w:leader="dot" w:pos="9060"/>
        </w:tabs>
        <w:rPr>
          <w:rFonts w:eastAsiaTheme="minorEastAsia" w:cstheme="minorBidi"/>
          <w:i w:val="0"/>
          <w:iCs w:val="0"/>
          <w:noProof/>
          <w:sz w:val="22"/>
          <w:szCs w:val="22"/>
          <w:lang w:eastAsia="en-GB" w:bidi="ar-SA"/>
        </w:rPr>
      </w:pPr>
      <w:hyperlink w:anchor="_Toc5629744" w:history="1">
        <w:r w:rsidR="00761903" w:rsidRPr="00696DBF">
          <w:rPr>
            <w:rStyle w:val="Hyperlink"/>
            <w:noProof/>
          </w:rPr>
          <w:t>3.4.4</w:t>
        </w:r>
        <w:r w:rsidR="00761903">
          <w:rPr>
            <w:rFonts w:eastAsiaTheme="minorEastAsia" w:cstheme="minorBidi"/>
            <w:i w:val="0"/>
            <w:iCs w:val="0"/>
            <w:noProof/>
            <w:sz w:val="22"/>
            <w:szCs w:val="22"/>
            <w:lang w:eastAsia="en-GB" w:bidi="ar-SA"/>
          </w:rPr>
          <w:tab/>
        </w:r>
        <w:r w:rsidR="00761903" w:rsidRPr="00696DBF">
          <w:rPr>
            <w:rStyle w:val="Hyperlink"/>
            <w:noProof/>
          </w:rPr>
          <w:t>Bioinformatics concerning potential for toxicity</w:t>
        </w:r>
        <w:r w:rsidR="00761903">
          <w:rPr>
            <w:noProof/>
            <w:webHidden/>
          </w:rPr>
          <w:tab/>
        </w:r>
        <w:r w:rsidR="00761903">
          <w:rPr>
            <w:noProof/>
            <w:webHidden/>
          </w:rPr>
          <w:fldChar w:fldCharType="begin"/>
        </w:r>
        <w:r w:rsidR="00761903">
          <w:rPr>
            <w:noProof/>
            <w:webHidden/>
          </w:rPr>
          <w:instrText xml:space="preserve"> PAGEREF _Toc5629744 \h </w:instrText>
        </w:r>
        <w:r w:rsidR="00761903">
          <w:rPr>
            <w:noProof/>
            <w:webHidden/>
          </w:rPr>
        </w:r>
        <w:r w:rsidR="00761903">
          <w:rPr>
            <w:noProof/>
            <w:webHidden/>
          </w:rPr>
          <w:fldChar w:fldCharType="separate"/>
        </w:r>
        <w:r w:rsidR="00761903">
          <w:rPr>
            <w:noProof/>
            <w:webHidden/>
          </w:rPr>
          <w:t>13</w:t>
        </w:r>
        <w:r w:rsidR="00761903">
          <w:rPr>
            <w:noProof/>
            <w:webHidden/>
          </w:rPr>
          <w:fldChar w:fldCharType="end"/>
        </w:r>
      </w:hyperlink>
    </w:p>
    <w:p w14:paraId="61BFD613" w14:textId="642A7895" w:rsidR="00761903" w:rsidRDefault="00300C2A">
      <w:pPr>
        <w:pStyle w:val="TOC3"/>
        <w:tabs>
          <w:tab w:val="left" w:pos="1100"/>
          <w:tab w:val="right" w:leader="dot" w:pos="9060"/>
        </w:tabs>
        <w:rPr>
          <w:rFonts w:eastAsiaTheme="minorEastAsia" w:cstheme="minorBidi"/>
          <w:i w:val="0"/>
          <w:iCs w:val="0"/>
          <w:noProof/>
          <w:sz w:val="22"/>
          <w:szCs w:val="22"/>
          <w:lang w:eastAsia="en-GB" w:bidi="ar-SA"/>
        </w:rPr>
      </w:pPr>
      <w:hyperlink w:anchor="_Toc5629745" w:history="1">
        <w:r w:rsidR="00761903" w:rsidRPr="00696DBF">
          <w:rPr>
            <w:rStyle w:val="Hyperlink"/>
            <w:noProof/>
          </w:rPr>
          <w:t>3.4.5</w:t>
        </w:r>
        <w:r w:rsidR="00761903">
          <w:rPr>
            <w:rFonts w:eastAsiaTheme="minorEastAsia" w:cstheme="minorBidi"/>
            <w:i w:val="0"/>
            <w:iCs w:val="0"/>
            <w:noProof/>
            <w:sz w:val="22"/>
            <w:szCs w:val="22"/>
            <w:lang w:eastAsia="en-GB" w:bidi="ar-SA"/>
          </w:rPr>
          <w:tab/>
        </w:r>
        <w:r w:rsidR="00761903" w:rsidRPr="00696DBF">
          <w:rPr>
            <w:rStyle w:val="Hyperlink"/>
            <w:noProof/>
          </w:rPr>
          <w:t>Bioinformatics concerning potential for allergenicity</w:t>
        </w:r>
        <w:r w:rsidR="00761903">
          <w:rPr>
            <w:noProof/>
            <w:webHidden/>
          </w:rPr>
          <w:tab/>
        </w:r>
        <w:r w:rsidR="00761903">
          <w:rPr>
            <w:noProof/>
            <w:webHidden/>
          </w:rPr>
          <w:fldChar w:fldCharType="begin"/>
        </w:r>
        <w:r w:rsidR="00761903">
          <w:rPr>
            <w:noProof/>
            <w:webHidden/>
          </w:rPr>
          <w:instrText xml:space="preserve"> PAGEREF _Toc5629745 \h </w:instrText>
        </w:r>
        <w:r w:rsidR="00761903">
          <w:rPr>
            <w:noProof/>
            <w:webHidden/>
          </w:rPr>
        </w:r>
        <w:r w:rsidR="00761903">
          <w:rPr>
            <w:noProof/>
            <w:webHidden/>
          </w:rPr>
          <w:fldChar w:fldCharType="separate"/>
        </w:r>
        <w:r w:rsidR="00761903">
          <w:rPr>
            <w:noProof/>
            <w:webHidden/>
          </w:rPr>
          <w:t>13</w:t>
        </w:r>
        <w:r w:rsidR="00761903">
          <w:rPr>
            <w:noProof/>
            <w:webHidden/>
          </w:rPr>
          <w:fldChar w:fldCharType="end"/>
        </w:r>
      </w:hyperlink>
    </w:p>
    <w:p w14:paraId="17847A43" w14:textId="0114D411" w:rsidR="00761903" w:rsidRDefault="00300C2A">
      <w:pPr>
        <w:pStyle w:val="TOC3"/>
        <w:tabs>
          <w:tab w:val="left" w:pos="1100"/>
          <w:tab w:val="right" w:leader="dot" w:pos="9060"/>
        </w:tabs>
        <w:rPr>
          <w:rFonts w:eastAsiaTheme="minorEastAsia" w:cstheme="minorBidi"/>
          <w:i w:val="0"/>
          <w:iCs w:val="0"/>
          <w:noProof/>
          <w:sz w:val="22"/>
          <w:szCs w:val="22"/>
          <w:lang w:eastAsia="en-GB" w:bidi="ar-SA"/>
        </w:rPr>
      </w:pPr>
      <w:hyperlink w:anchor="_Toc5629746" w:history="1">
        <w:r w:rsidR="00761903" w:rsidRPr="00696DBF">
          <w:rPr>
            <w:rStyle w:val="Hyperlink"/>
            <w:noProof/>
          </w:rPr>
          <w:t>3.4.6</w:t>
        </w:r>
        <w:r w:rsidR="00761903">
          <w:rPr>
            <w:rFonts w:eastAsiaTheme="minorEastAsia" w:cstheme="minorBidi"/>
            <w:i w:val="0"/>
            <w:iCs w:val="0"/>
            <w:noProof/>
            <w:sz w:val="22"/>
            <w:szCs w:val="22"/>
            <w:lang w:eastAsia="en-GB" w:bidi="ar-SA"/>
          </w:rPr>
          <w:tab/>
        </w:r>
        <w:r w:rsidR="00761903" w:rsidRPr="00696DBF">
          <w:rPr>
            <w:rStyle w:val="Hyperlink"/>
            <w:noProof/>
          </w:rPr>
          <w:t>Approvals by other regulatory agencies</w:t>
        </w:r>
        <w:r w:rsidR="00761903">
          <w:rPr>
            <w:noProof/>
            <w:webHidden/>
          </w:rPr>
          <w:tab/>
        </w:r>
        <w:r w:rsidR="00761903">
          <w:rPr>
            <w:noProof/>
            <w:webHidden/>
          </w:rPr>
          <w:fldChar w:fldCharType="begin"/>
        </w:r>
        <w:r w:rsidR="00761903">
          <w:rPr>
            <w:noProof/>
            <w:webHidden/>
          </w:rPr>
          <w:instrText xml:space="preserve"> PAGEREF _Toc5629746 \h </w:instrText>
        </w:r>
        <w:r w:rsidR="00761903">
          <w:rPr>
            <w:noProof/>
            <w:webHidden/>
          </w:rPr>
        </w:r>
        <w:r w:rsidR="00761903">
          <w:rPr>
            <w:noProof/>
            <w:webHidden/>
          </w:rPr>
          <w:fldChar w:fldCharType="separate"/>
        </w:r>
        <w:r w:rsidR="00761903">
          <w:rPr>
            <w:noProof/>
            <w:webHidden/>
          </w:rPr>
          <w:t>14</w:t>
        </w:r>
        <w:r w:rsidR="00761903">
          <w:rPr>
            <w:noProof/>
            <w:webHidden/>
          </w:rPr>
          <w:fldChar w:fldCharType="end"/>
        </w:r>
      </w:hyperlink>
    </w:p>
    <w:p w14:paraId="50530A45" w14:textId="0E179CD5" w:rsidR="00761903" w:rsidRDefault="00300C2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629747" w:history="1">
        <w:r w:rsidR="00761903" w:rsidRPr="00696DBF">
          <w:rPr>
            <w:rStyle w:val="Hyperlink"/>
            <w:noProof/>
          </w:rPr>
          <w:t>4</w:t>
        </w:r>
        <w:r w:rsidR="00761903">
          <w:rPr>
            <w:rFonts w:eastAsiaTheme="minorEastAsia" w:cstheme="minorBidi"/>
            <w:b w:val="0"/>
            <w:bCs w:val="0"/>
            <w:caps w:val="0"/>
            <w:noProof/>
            <w:sz w:val="22"/>
            <w:szCs w:val="22"/>
            <w:lang w:eastAsia="en-GB" w:bidi="ar-SA"/>
          </w:rPr>
          <w:tab/>
        </w:r>
        <w:r w:rsidR="00761903" w:rsidRPr="00696DBF">
          <w:rPr>
            <w:rStyle w:val="Hyperlink"/>
            <w:noProof/>
          </w:rPr>
          <w:t>Discussion</w:t>
        </w:r>
        <w:r w:rsidR="00761903">
          <w:rPr>
            <w:noProof/>
            <w:webHidden/>
          </w:rPr>
          <w:tab/>
        </w:r>
        <w:r w:rsidR="00761903">
          <w:rPr>
            <w:noProof/>
            <w:webHidden/>
          </w:rPr>
          <w:fldChar w:fldCharType="begin"/>
        </w:r>
        <w:r w:rsidR="00761903">
          <w:rPr>
            <w:noProof/>
            <w:webHidden/>
          </w:rPr>
          <w:instrText xml:space="preserve"> PAGEREF _Toc5629747 \h </w:instrText>
        </w:r>
        <w:r w:rsidR="00761903">
          <w:rPr>
            <w:noProof/>
            <w:webHidden/>
          </w:rPr>
        </w:r>
        <w:r w:rsidR="00761903">
          <w:rPr>
            <w:noProof/>
            <w:webHidden/>
          </w:rPr>
          <w:fldChar w:fldCharType="separate"/>
        </w:r>
        <w:r w:rsidR="00761903">
          <w:rPr>
            <w:noProof/>
            <w:webHidden/>
          </w:rPr>
          <w:t>14</w:t>
        </w:r>
        <w:r w:rsidR="00761903">
          <w:rPr>
            <w:noProof/>
            <w:webHidden/>
          </w:rPr>
          <w:fldChar w:fldCharType="end"/>
        </w:r>
      </w:hyperlink>
    </w:p>
    <w:p w14:paraId="1CBDE02C" w14:textId="1D2D026B" w:rsidR="00761903" w:rsidRDefault="00300C2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629748" w:history="1">
        <w:r w:rsidR="00761903" w:rsidRPr="00696DBF">
          <w:rPr>
            <w:rStyle w:val="Hyperlink"/>
            <w:noProof/>
          </w:rPr>
          <w:t xml:space="preserve">5 </w:t>
        </w:r>
        <w:r w:rsidR="00761903">
          <w:rPr>
            <w:rFonts w:eastAsiaTheme="minorEastAsia" w:cstheme="minorBidi"/>
            <w:b w:val="0"/>
            <w:bCs w:val="0"/>
            <w:caps w:val="0"/>
            <w:noProof/>
            <w:sz w:val="22"/>
            <w:szCs w:val="22"/>
            <w:lang w:eastAsia="en-GB" w:bidi="ar-SA"/>
          </w:rPr>
          <w:tab/>
        </w:r>
        <w:r w:rsidR="00761903" w:rsidRPr="00696DBF">
          <w:rPr>
            <w:rStyle w:val="Hyperlink"/>
            <w:noProof/>
          </w:rPr>
          <w:t>Conclusions</w:t>
        </w:r>
        <w:r w:rsidR="00761903">
          <w:rPr>
            <w:noProof/>
            <w:webHidden/>
          </w:rPr>
          <w:tab/>
        </w:r>
        <w:r w:rsidR="00761903">
          <w:rPr>
            <w:noProof/>
            <w:webHidden/>
          </w:rPr>
          <w:fldChar w:fldCharType="begin"/>
        </w:r>
        <w:r w:rsidR="00761903">
          <w:rPr>
            <w:noProof/>
            <w:webHidden/>
          </w:rPr>
          <w:instrText xml:space="preserve"> PAGEREF _Toc5629748 \h </w:instrText>
        </w:r>
        <w:r w:rsidR="00761903">
          <w:rPr>
            <w:noProof/>
            <w:webHidden/>
          </w:rPr>
        </w:r>
        <w:r w:rsidR="00761903">
          <w:rPr>
            <w:noProof/>
            <w:webHidden/>
          </w:rPr>
          <w:fldChar w:fldCharType="separate"/>
        </w:r>
        <w:r w:rsidR="00761903">
          <w:rPr>
            <w:noProof/>
            <w:webHidden/>
          </w:rPr>
          <w:t>14</w:t>
        </w:r>
        <w:r w:rsidR="00761903">
          <w:rPr>
            <w:noProof/>
            <w:webHidden/>
          </w:rPr>
          <w:fldChar w:fldCharType="end"/>
        </w:r>
      </w:hyperlink>
    </w:p>
    <w:p w14:paraId="3B4DA910" w14:textId="14BD2E07" w:rsidR="00761903" w:rsidRDefault="00300C2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629749" w:history="1">
        <w:r w:rsidR="00761903" w:rsidRPr="00696DBF">
          <w:rPr>
            <w:rStyle w:val="Hyperlink"/>
            <w:noProof/>
          </w:rPr>
          <w:t xml:space="preserve">6 </w:t>
        </w:r>
        <w:r w:rsidR="00761903">
          <w:rPr>
            <w:rFonts w:eastAsiaTheme="minorEastAsia" w:cstheme="minorBidi"/>
            <w:b w:val="0"/>
            <w:bCs w:val="0"/>
            <w:caps w:val="0"/>
            <w:noProof/>
            <w:sz w:val="22"/>
            <w:szCs w:val="22"/>
            <w:lang w:eastAsia="en-GB" w:bidi="ar-SA"/>
          </w:rPr>
          <w:tab/>
        </w:r>
        <w:r w:rsidR="00761903" w:rsidRPr="00696DBF">
          <w:rPr>
            <w:rStyle w:val="Hyperlink"/>
            <w:noProof/>
          </w:rPr>
          <w:t>References</w:t>
        </w:r>
        <w:r w:rsidR="00761903">
          <w:rPr>
            <w:noProof/>
            <w:webHidden/>
          </w:rPr>
          <w:tab/>
        </w:r>
        <w:r w:rsidR="00761903">
          <w:rPr>
            <w:noProof/>
            <w:webHidden/>
          </w:rPr>
          <w:fldChar w:fldCharType="begin"/>
        </w:r>
        <w:r w:rsidR="00761903">
          <w:rPr>
            <w:noProof/>
            <w:webHidden/>
          </w:rPr>
          <w:instrText xml:space="preserve"> PAGEREF _Toc5629749 \h </w:instrText>
        </w:r>
        <w:r w:rsidR="00761903">
          <w:rPr>
            <w:noProof/>
            <w:webHidden/>
          </w:rPr>
        </w:r>
        <w:r w:rsidR="00761903">
          <w:rPr>
            <w:noProof/>
            <w:webHidden/>
          </w:rPr>
          <w:fldChar w:fldCharType="separate"/>
        </w:r>
        <w:r w:rsidR="00761903">
          <w:rPr>
            <w:noProof/>
            <w:webHidden/>
          </w:rPr>
          <w:t>15</w:t>
        </w:r>
        <w:r w:rsidR="00761903">
          <w:rPr>
            <w:noProof/>
            <w:webHidden/>
          </w:rPr>
          <w:fldChar w:fldCharType="end"/>
        </w:r>
      </w:hyperlink>
    </w:p>
    <w:p w14:paraId="61A5A49E" w14:textId="57A7CBAC"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1FA95CBF" w:rsidR="00AF0509" w:rsidRDefault="00AF0509" w:rsidP="000A14E9">
      <w:pPr>
        <w:pStyle w:val="Heading1"/>
        <w:ind w:left="567" w:hanging="567"/>
      </w:pPr>
      <w:bookmarkStart w:id="4" w:name="_Toc501699816"/>
      <w:bookmarkStart w:id="5" w:name="_Toc5629720"/>
      <w:r>
        <w:lastRenderedPageBreak/>
        <w:t xml:space="preserve">1 </w:t>
      </w:r>
      <w:r w:rsidR="00D410BF">
        <w:tab/>
      </w:r>
      <w:r>
        <w:t>Introduction</w:t>
      </w:r>
      <w:bookmarkEnd w:id="4"/>
      <w:bookmarkEnd w:id="5"/>
    </w:p>
    <w:p w14:paraId="346A0783" w14:textId="2D8D2DA3" w:rsidR="00D410BF" w:rsidRDefault="00D410BF" w:rsidP="00D410BF">
      <w:bookmarkStart w:id="6" w:name="_Toc501699817"/>
      <w:bookmarkEnd w:id="6"/>
      <w:r>
        <w:t xml:space="preserve">Glucoamylase (EC </w:t>
      </w:r>
      <w:r w:rsidRPr="00E25B1C">
        <w:t>3.2.1.3</w:t>
      </w:r>
      <w:r>
        <w:t xml:space="preserve">) is an enzyme which catalyses the hydrolysis of 1,4-alpha and 1,6-alpha-D-glucosidic linkages in starch polysaccharides. </w:t>
      </w:r>
      <w:r w:rsidRPr="006072CC">
        <w:t>Produced through fermentation,</w:t>
      </w:r>
      <w:r>
        <w:t xml:space="preserve"> its microbial source is a </w:t>
      </w:r>
      <w:r w:rsidRPr="006072CC">
        <w:t xml:space="preserve">genetically modified </w:t>
      </w:r>
      <w:r w:rsidR="0055568B">
        <w:t xml:space="preserve">(GM) </w:t>
      </w:r>
      <w:r>
        <w:t xml:space="preserve">strain of </w:t>
      </w:r>
      <w:r w:rsidRPr="00CF6C6C">
        <w:rPr>
          <w:i/>
        </w:rPr>
        <w:t>Aspergillus niger</w:t>
      </w:r>
      <w:r>
        <w:t xml:space="preserve">. Glucoamylase converts starch to fermentable sugars in various foods resulting in benefits including improved yield, decreased </w:t>
      </w:r>
      <w:r w:rsidR="007142EC">
        <w:t xml:space="preserve">potential for microbial </w:t>
      </w:r>
      <w:r>
        <w:t xml:space="preserve">contamination </w:t>
      </w:r>
      <w:r w:rsidR="007142EC">
        <w:t>since the enzyme can be used at higher temperatures during processing</w:t>
      </w:r>
      <w:r w:rsidR="001E4D21">
        <w:t>,</w:t>
      </w:r>
      <w:r w:rsidR="007142EC">
        <w:t xml:space="preserve"> </w:t>
      </w:r>
      <w:r>
        <w:t xml:space="preserve">and enhanced and more uniform colour. </w:t>
      </w:r>
    </w:p>
    <w:p w14:paraId="62AEEA07" w14:textId="77777777" w:rsidR="00D410BF" w:rsidRDefault="00D410BF" w:rsidP="00D410BF"/>
    <w:p w14:paraId="6B550CA5" w14:textId="77777777" w:rsidR="00D410BF" w:rsidRDefault="00D410BF" w:rsidP="00D410BF">
      <w:r>
        <w:t xml:space="preserve">The glucoamylase enzyme preparation is intended to be used as a processing aid in the starch processing industry for the production of several products, e.g. syrups, distilled beverages, beer, bread, and juices. </w:t>
      </w:r>
    </w:p>
    <w:p w14:paraId="63BE092B" w14:textId="14C70514" w:rsidR="001E6A7B" w:rsidRDefault="00340EB7" w:rsidP="00BD59CB">
      <w:pPr>
        <w:pStyle w:val="Heading2"/>
      </w:pPr>
      <w:bookmarkStart w:id="7" w:name="_Toc5629721"/>
      <w:r>
        <w:t>1.1</w:t>
      </w:r>
      <w:r>
        <w:tab/>
      </w:r>
      <w:r w:rsidR="001E6A7B" w:rsidRPr="00D410BF">
        <w:t>Objectives</w:t>
      </w:r>
      <w:r w:rsidR="001E6A7B">
        <w:t xml:space="preserve"> of the assessment</w:t>
      </w:r>
      <w:bookmarkEnd w:id="7"/>
    </w:p>
    <w:p w14:paraId="739A9693" w14:textId="3FA9E909" w:rsidR="00D410BF" w:rsidRPr="00B659CB" w:rsidRDefault="00D410BF" w:rsidP="00D410BF">
      <w:r w:rsidRPr="00B659CB">
        <w:t xml:space="preserve">The objectives of this </w:t>
      </w:r>
      <w:r>
        <w:t xml:space="preserve">technical, safety and </w:t>
      </w:r>
      <w:r w:rsidRPr="00B659CB">
        <w:t xml:space="preserve">risk assessment </w:t>
      </w:r>
      <w:r>
        <w:t xml:space="preserve">for glucoamylase </w:t>
      </w:r>
      <w:r w:rsidRPr="00B659CB">
        <w:t>were to:</w:t>
      </w:r>
    </w:p>
    <w:p w14:paraId="0C8F7041" w14:textId="77777777" w:rsidR="00D410BF" w:rsidRPr="00B659CB" w:rsidRDefault="00D410BF" w:rsidP="00D410BF"/>
    <w:p w14:paraId="75D221FC" w14:textId="77777777" w:rsidR="00D410BF" w:rsidRDefault="00D410BF" w:rsidP="00D410BF">
      <w:pPr>
        <w:pStyle w:val="FSBullet1"/>
      </w:pPr>
      <w:r w:rsidRPr="00B659CB">
        <w:t xml:space="preserve">determine whether the proposed purpose is clearly stated and that the enzyme achieves its technological function in the quantity and form proposed to </w:t>
      </w:r>
      <w:r>
        <w:t>be used as a food processing aid</w:t>
      </w:r>
    </w:p>
    <w:p w14:paraId="196EBF7A" w14:textId="77777777" w:rsidR="00D410BF" w:rsidRPr="00B659CB" w:rsidRDefault="00D410BF" w:rsidP="00D410BF">
      <w:pPr>
        <w:pStyle w:val="ListParagraph"/>
        <w:ind w:left="930"/>
      </w:pPr>
    </w:p>
    <w:p w14:paraId="48B479C5" w14:textId="293E18CC" w:rsidR="00D410BF" w:rsidRDefault="00D410BF" w:rsidP="00D410BF">
      <w:pPr>
        <w:pStyle w:val="FSBullet1"/>
      </w:pPr>
      <w:r w:rsidRPr="00B659CB">
        <w:t xml:space="preserve">evaluate any potential public health and safety </w:t>
      </w:r>
      <w:r>
        <w:t>issues</w:t>
      </w:r>
      <w:r w:rsidRPr="00B659CB">
        <w:t xml:space="preserve"> that may arise from the use of </w:t>
      </w:r>
      <w:r>
        <w:t>this enzyme protein, produced by</w:t>
      </w:r>
      <w:r w:rsidRPr="00B659CB">
        <w:t xml:space="preserve"> </w:t>
      </w:r>
      <w:r>
        <w:t xml:space="preserve">a </w:t>
      </w:r>
      <w:r w:rsidR="0055568B">
        <w:t>GM</w:t>
      </w:r>
      <w:r>
        <w:t xml:space="preserve"> organism </w:t>
      </w:r>
      <w:r w:rsidRPr="00B659CB">
        <w:t>as a processing aid.</w:t>
      </w:r>
      <w:r>
        <w:t xml:space="preserve"> Specifically by considering the:</w:t>
      </w:r>
    </w:p>
    <w:p w14:paraId="4EB05B39" w14:textId="77777777" w:rsidR="00D410BF" w:rsidRDefault="00D410BF" w:rsidP="00D410BF"/>
    <w:p w14:paraId="5EA87FAF" w14:textId="77777777" w:rsidR="00D410BF" w:rsidRDefault="00D410BF" w:rsidP="00D410BF">
      <w:pPr>
        <w:pStyle w:val="FSBullet2"/>
      </w:pPr>
      <w:r w:rsidRPr="00F853CC">
        <w:t>history of us</w:t>
      </w:r>
      <w:r>
        <w:t>e of the host and gene donor organisms</w:t>
      </w:r>
    </w:p>
    <w:p w14:paraId="01373E96" w14:textId="77777777" w:rsidR="00D410BF" w:rsidRPr="00460133" w:rsidRDefault="00D410BF" w:rsidP="00D410BF">
      <w:pPr>
        <w:pStyle w:val="FSBullet2"/>
      </w:pPr>
      <w:r>
        <w:t>characterisation of the genetic modification(s), and</w:t>
      </w:r>
    </w:p>
    <w:p w14:paraId="3F68A415" w14:textId="77777777" w:rsidR="00D410BF" w:rsidRDefault="00D410BF" w:rsidP="00D410BF">
      <w:pPr>
        <w:pStyle w:val="FSBullet2"/>
      </w:pPr>
      <w:r>
        <w:t>safety of the enzyme protein.</w:t>
      </w:r>
    </w:p>
    <w:p w14:paraId="5767146C" w14:textId="1C2F71F6" w:rsidR="001E6A7B" w:rsidRDefault="001E6A7B" w:rsidP="000A14E9">
      <w:pPr>
        <w:pStyle w:val="Heading1"/>
        <w:ind w:left="567" w:hanging="567"/>
      </w:pPr>
      <w:bookmarkStart w:id="8" w:name="_Toc5629722"/>
      <w:r>
        <w:t>2</w:t>
      </w:r>
      <w:r w:rsidR="000A14E9">
        <w:tab/>
      </w:r>
      <w:r>
        <w:t>Food technology assessment</w:t>
      </w:r>
      <w:bookmarkEnd w:id="8"/>
    </w:p>
    <w:p w14:paraId="28876474" w14:textId="77777777" w:rsidR="001E6A7B" w:rsidRDefault="001E6A7B" w:rsidP="000B5751">
      <w:pPr>
        <w:pStyle w:val="Heading2"/>
      </w:pPr>
      <w:bookmarkStart w:id="9" w:name="_Toc472327044"/>
      <w:bookmarkStart w:id="10" w:name="_Toc501699819"/>
      <w:bookmarkStart w:id="11" w:name="_Toc5629723"/>
      <w:r>
        <w:t>2.1</w:t>
      </w:r>
      <w:r>
        <w:tab/>
        <w:t>Characterisation of the enzyme</w:t>
      </w:r>
      <w:bookmarkEnd w:id="9"/>
      <w:bookmarkEnd w:id="10"/>
      <w:bookmarkEnd w:id="11"/>
    </w:p>
    <w:p w14:paraId="6D257B39" w14:textId="524898A7" w:rsidR="001E6A7B" w:rsidRDefault="001E6A7B" w:rsidP="00BD59CB">
      <w:pPr>
        <w:pStyle w:val="Heading3"/>
      </w:pPr>
      <w:bookmarkStart w:id="12" w:name="_Toc5629724"/>
      <w:r>
        <w:t>2.1.1</w:t>
      </w:r>
      <w:r>
        <w:tab/>
        <w:t>Identity of the enzyme</w:t>
      </w:r>
      <w:bookmarkEnd w:id="12"/>
    </w:p>
    <w:p w14:paraId="52D3138A" w14:textId="6786CA5C" w:rsidR="000C4E5F" w:rsidRPr="000C4E5F" w:rsidRDefault="000C4E5F" w:rsidP="000C4E5F">
      <w:r w:rsidRPr="000C4E5F">
        <w:t xml:space="preserve">The </w:t>
      </w:r>
      <w:r w:rsidR="007A3B39">
        <w:t>production</w:t>
      </w:r>
      <w:r w:rsidR="007A3B39" w:rsidRPr="000C4E5F">
        <w:t xml:space="preserve"> </w:t>
      </w:r>
      <w:r w:rsidRPr="000C4E5F">
        <w:t xml:space="preserve">microorganism of the enzyme is a </w:t>
      </w:r>
      <w:r w:rsidR="0055568B">
        <w:t>GM</w:t>
      </w:r>
      <w:r w:rsidRPr="000C4E5F">
        <w:t xml:space="preserve"> </w:t>
      </w:r>
      <w:r w:rsidR="003E44B5" w:rsidRPr="000C4E5F">
        <w:rPr>
          <w:i/>
        </w:rPr>
        <w:t>A</w:t>
      </w:r>
      <w:r w:rsidR="003E44B5">
        <w:rPr>
          <w:i/>
        </w:rPr>
        <w:t>.</w:t>
      </w:r>
      <w:r w:rsidR="003E44B5" w:rsidRPr="000C4E5F">
        <w:rPr>
          <w:i/>
        </w:rPr>
        <w:t xml:space="preserve"> </w:t>
      </w:r>
      <w:r w:rsidRPr="000C4E5F">
        <w:rPr>
          <w:i/>
        </w:rPr>
        <w:t>niger</w:t>
      </w:r>
      <w:r w:rsidR="007A3B39">
        <w:rPr>
          <w:i/>
        </w:rPr>
        <w:t xml:space="preserve"> </w:t>
      </w:r>
      <w:r w:rsidR="007A3B39" w:rsidRPr="007A3B39">
        <w:t>(</w:t>
      </w:r>
      <w:r w:rsidR="00E50741">
        <w:t xml:space="preserve">see Section 3 for </w:t>
      </w:r>
      <w:r w:rsidR="007A3B39">
        <w:t>information)</w:t>
      </w:r>
      <w:r w:rsidRPr="000C4E5F">
        <w:t xml:space="preserve">. </w:t>
      </w:r>
      <w:r w:rsidR="007A3B39">
        <w:t>T</w:t>
      </w:r>
      <w:r w:rsidRPr="000C4E5F">
        <w:t xml:space="preserve">he donor organism </w:t>
      </w:r>
      <w:r w:rsidR="00E50741">
        <w:t xml:space="preserve">of the </w:t>
      </w:r>
      <w:r w:rsidR="00E50741" w:rsidRPr="00E50741">
        <w:rPr>
          <w:i/>
        </w:rPr>
        <w:t>glucoamylase gene</w:t>
      </w:r>
      <w:r w:rsidR="00E50741">
        <w:t xml:space="preserve"> </w:t>
      </w:r>
      <w:r w:rsidR="007A3B39">
        <w:t xml:space="preserve">is </w:t>
      </w:r>
      <w:r w:rsidR="00E50741">
        <w:t xml:space="preserve">the fungus, </w:t>
      </w:r>
      <w:r w:rsidRPr="000C4E5F">
        <w:rPr>
          <w:i/>
        </w:rPr>
        <w:t>Talaromyces emersonii</w:t>
      </w:r>
      <w:r w:rsidRPr="000C4E5F">
        <w:t xml:space="preserve">. </w:t>
      </w:r>
    </w:p>
    <w:p w14:paraId="06A17066" w14:textId="77777777" w:rsidR="000C4E5F" w:rsidRPr="000C4E5F" w:rsidRDefault="000C4E5F" w:rsidP="000C4E5F"/>
    <w:p w14:paraId="7A61B5AB" w14:textId="0C41AEF1" w:rsidR="000C4E5F" w:rsidRPr="000C4E5F" w:rsidRDefault="000C4E5F" w:rsidP="000C4E5F">
      <w:pPr>
        <w:widowControl/>
        <w:autoSpaceDE w:val="0"/>
        <w:autoSpaceDN w:val="0"/>
        <w:adjustRightInd w:val="0"/>
        <w:rPr>
          <w:rFonts w:ascii="CIDFont+F1" w:eastAsia="Calibri" w:hAnsi="CIDFont+F1" w:cs="CIDFont+F1"/>
          <w:szCs w:val="22"/>
          <w:lang w:bidi="ar-SA"/>
        </w:rPr>
      </w:pPr>
      <w:r w:rsidRPr="000C4E5F">
        <w:rPr>
          <w:rFonts w:ascii="CIDFont+F1" w:eastAsia="Calibri" w:hAnsi="CIDFont+F1" w:cs="CIDFont+F1"/>
          <w:szCs w:val="22"/>
          <w:lang w:bidi="ar-SA"/>
        </w:rPr>
        <w:t xml:space="preserve">The glucoamylase enzyme preparation is available under the commercial name </w:t>
      </w:r>
      <w:r w:rsidR="00FB4357">
        <w:rPr>
          <w:rFonts w:ascii="CIDFont+F1" w:eastAsia="Calibri" w:hAnsi="CIDFont+F1" w:cs="CIDFont+F1"/>
          <w:szCs w:val="22"/>
          <w:lang w:bidi="ar-SA"/>
        </w:rPr>
        <w:t>“</w:t>
      </w:r>
      <w:r w:rsidRPr="000C4E5F">
        <w:rPr>
          <w:rFonts w:ascii="CIDFont+F1" w:eastAsia="Calibri" w:hAnsi="CIDFont+F1" w:cs="CIDFont+F1"/>
          <w:szCs w:val="22"/>
          <w:lang w:bidi="ar-SA"/>
        </w:rPr>
        <w:t>Attenuzyme</w:t>
      </w:r>
    </w:p>
    <w:p w14:paraId="11835F4E" w14:textId="59503F06" w:rsidR="000C4E5F" w:rsidRPr="000C4E5F" w:rsidRDefault="000C4E5F" w:rsidP="000C4E5F">
      <w:pPr>
        <w:widowControl/>
        <w:autoSpaceDE w:val="0"/>
        <w:autoSpaceDN w:val="0"/>
        <w:adjustRightInd w:val="0"/>
        <w:rPr>
          <w:rFonts w:ascii="CIDFont+F1" w:eastAsia="Calibri" w:hAnsi="CIDFont+F1" w:cs="CIDFont+F1"/>
          <w:strike/>
          <w:szCs w:val="22"/>
          <w:lang w:bidi="ar-SA"/>
        </w:rPr>
      </w:pPr>
      <w:r w:rsidRPr="000C4E5F">
        <w:rPr>
          <w:rFonts w:ascii="CIDFont+F1" w:eastAsia="Calibri" w:hAnsi="CIDFont+F1" w:cs="CIDFont+F1"/>
          <w:szCs w:val="22"/>
          <w:lang w:bidi="ar-SA"/>
        </w:rPr>
        <w:t>Core</w:t>
      </w:r>
      <w:r w:rsidR="00FB4357">
        <w:rPr>
          <w:rFonts w:ascii="CIDFont+F1" w:eastAsia="Calibri" w:hAnsi="CIDFont+F1" w:cs="CIDFont+F1"/>
          <w:szCs w:val="22"/>
          <w:lang w:bidi="ar-SA"/>
        </w:rPr>
        <w:t>”</w:t>
      </w:r>
      <w:r w:rsidRPr="000C4E5F">
        <w:rPr>
          <w:rFonts w:ascii="CIDFont+F1" w:eastAsia="Calibri" w:hAnsi="CIDFont+F1" w:cs="CIDFont+F1"/>
          <w:szCs w:val="22"/>
          <w:lang w:bidi="ar-SA"/>
        </w:rPr>
        <w:t xml:space="preserve"> as a single enzyme formulation</w:t>
      </w:r>
      <w:r w:rsidRPr="000C4E5F">
        <w:t xml:space="preserve"> </w:t>
      </w:r>
      <w:r w:rsidRPr="000C4E5F">
        <w:rPr>
          <w:rFonts w:ascii="CIDFont+F1" w:eastAsia="Calibri" w:hAnsi="CIDFont+F1" w:cs="CIDFont+F1"/>
          <w:szCs w:val="22"/>
          <w:lang w:bidi="ar-SA"/>
        </w:rPr>
        <w:t>when used for brewing processes. The preparation is standardised in glucoamylase units (AGU/g)</w:t>
      </w:r>
      <w:r w:rsidRPr="000C4E5F">
        <w:rPr>
          <w:rFonts w:ascii="CIDFont+F1" w:eastAsia="Calibri" w:hAnsi="CIDFont+F1" w:cs="CIDFont+F1"/>
          <w:szCs w:val="22"/>
          <w:vertAlign w:val="superscript"/>
          <w:lang w:bidi="ar-SA"/>
        </w:rPr>
        <w:footnoteReference w:id="2"/>
      </w:r>
      <w:r w:rsidRPr="000C4E5F">
        <w:rPr>
          <w:rFonts w:ascii="CIDFont+F1" w:eastAsia="Calibri" w:hAnsi="CIDFont+F1" w:cs="CIDFont+F1"/>
          <w:szCs w:val="22"/>
          <w:lang w:bidi="ar-SA"/>
        </w:rPr>
        <w:t xml:space="preserve"> to an activity of 1600 AGU/g</w:t>
      </w:r>
      <w:r w:rsidR="007E6F98">
        <w:rPr>
          <w:rFonts w:ascii="CIDFont+F1" w:eastAsia="Calibri" w:hAnsi="CIDFont+F1" w:cs="CIDFont+F1"/>
          <w:szCs w:val="22"/>
          <w:lang w:bidi="ar-SA"/>
        </w:rPr>
        <w:t>, being a measure of enzyme activity</w:t>
      </w:r>
      <w:r w:rsidRPr="000C4E5F">
        <w:rPr>
          <w:rFonts w:ascii="CIDFont+F1" w:eastAsia="Calibri" w:hAnsi="CIDFont+F1" w:cs="CIDFont+F1"/>
          <w:szCs w:val="22"/>
          <w:lang w:bidi="ar-SA"/>
        </w:rPr>
        <w:t xml:space="preserve">. The enzyme preparation is available as a liquid. The liquid product is stabilised with sucrose and glucose with water as the carrier. </w:t>
      </w:r>
    </w:p>
    <w:p w14:paraId="77EBE250" w14:textId="77777777" w:rsidR="000C4E5F" w:rsidRPr="000C4E5F" w:rsidRDefault="000C4E5F" w:rsidP="000C4E5F">
      <w:pPr>
        <w:widowControl/>
        <w:autoSpaceDE w:val="0"/>
        <w:autoSpaceDN w:val="0"/>
        <w:adjustRightInd w:val="0"/>
        <w:rPr>
          <w:rFonts w:ascii="CIDFont+F1" w:eastAsia="Calibri" w:hAnsi="CIDFont+F1" w:cs="CIDFont+F1"/>
          <w:strike/>
          <w:szCs w:val="22"/>
          <w:highlight w:val="yellow"/>
          <w:lang w:bidi="ar-SA"/>
        </w:rPr>
      </w:pPr>
    </w:p>
    <w:p w14:paraId="2F5612FF" w14:textId="66540FCF" w:rsidR="000C4E5F" w:rsidRPr="000C4E5F" w:rsidRDefault="00E50741" w:rsidP="000C4E5F">
      <w:pPr>
        <w:widowControl/>
        <w:autoSpaceDE w:val="0"/>
        <w:autoSpaceDN w:val="0"/>
        <w:adjustRightInd w:val="0"/>
        <w:rPr>
          <w:rFonts w:ascii="CIDFont+F1" w:eastAsia="Calibri" w:hAnsi="CIDFont+F1" w:cs="CIDFont+F1"/>
          <w:szCs w:val="22"/>
          <w:lang w:bidi="ar-SA"/>
        </w:rPr>
      </w:pPr>
      <w:r>
        <w:rPr>
          <w:rFonts w:ascii="CIDFont+F1" w:eastAsia="Calibri" w:hAnsi="CIDFont+F1" w:cs="CIDFont+F1"/>
          <w:szCs w:val="22"/>
          <w:lang w:bidi="ar-SA"/>
        </w:rPr>
        <w:t>A</w:t>
      </w:r>
      <w:r w:rsidRPr="000C4E5F">
        <w:rPr>
          <w:rFonts w:ascii="CIDFont+F1" w:eastAsia="Calibri" w:hAnsi="CIDFont+F1" w:cs="CIDFont+F1"/>
          <w:szCs w:val="22"/>
          <w:lang w:bidi="ar-SA"/>
        </w:rPr>
        <w:t xml:space="preserve"> </w:t>
      </w:r>
      <w:r w:rsidR="000C4E5F" w:rsidRPr="000C4E5F">
        <w:rPr>
          <w:rFonts w:ascii="CIDFont+F1" w:eastAsia="Calibri" w:hAnsi="CIDFont+F1" w:cs="CIDFont+F1"/>
          <w:szCs w:val="22"/>
          <w:lang w:bidi="ar-SA"/>
        </w:rPr>
        <w:t>summary of the method of determining the enzyme activity is provided in the application. Glucoamylase converts maltose to D-glucose and the reaction is stopped with an alkaline solution. The glucose is subsequently phosphorylated and oxidised by other enzymes during which an amount of NAD</w:t>
      </w:r>
      <w:r w:rsidR="000C4E5F" w:rsidRPr="000C4E5F">
        <w:rPr>
          <w:rFonts w:ascii="CIDFont+F1" w:eastAsia="Calibri" w:hAnsi="CIDFont+F1" w:cs="CIDFont+F1"/>
          <w:szCs w:val="22"/>
          <w:vertAlign w:val="superscript"/>
          <w:lang w:bidi="ar-SA"/>
        </w:rPr>
        <w:t>+</w:t>
      </w:r>
      <w:r w:rsidR="000C4E5F" w:rsidRPr="000C4E5F">
        <w:rPr>
          <w:rFonts w:ascii="CIDFont+F1" w:eastAsia="Calibri" w:hAnsi="CIDFont+F1" w:cs="CIDFont+F1"/>
          <w:szCs w:val="22"/>
          <w:lang w:bidi="ar-SA"/>
        </w:rPr>
        <w:t xml:space="preserve"> proportional to maltose is reduced to NADH. This reduction </w:t>
      </w:r>
      <w:r w:rsidR="000C4E5F" w:rsidRPr="000C4E5F">
        <w:rPr>
          <w:rFonts w:ascii="CIDFont+F1" w:eastAsia="Calibri" w:hAnsi="CIDFont+F1" w:cs="CIDFont+F1"/>
          <w:szCs w:val="22"/>
          <w:lang w:bidi="ar-SA"/>
        </w:rPr>
        <w:lastRenderedPageBreak/>
        <w:t>reaction can be quantified following the increase in absorbance at 340 nm. The increase is proportional to the enzyme activity.</w:t>
      </w:r>
    </w:p>
    <w:p w14:paraId="142384E6" w14:textId="77777777" w:rsidR="000C4E5F" w:rsidRPr="000C4E5F" w:rsidRDefault="000C4E5F" w:rsidP="000C4E5F"/>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1"/>
      </w:tblGrid>
      <w:tr w:rsidR="000C4E5F" w:rsidRPr="000C4E5F" w14:paraId="60425596" w14:textId="77777777" w:rsidTr="00551114">
        <w:tc>
          <w:tcPr>
            <w:tcW w:w="3119" w:type="dxa"/>
          </w:tcPr>
          <w:p w14:paraId="31AE313D" w14:textId="77777777" w:rsidR="000C4E5F" w:rsidRPr="000C4E5F" w:rsidRDefault="000C4E5F" w:rsidP="000C4E5F">
            <w:pPr>
              <w:spacing w:before="120" w:after="120"/>
              <w:rPr>
                <w:b/>
                <w:i/>
              </w:rPr>
            </w:pPr>
            <w:r w:rsidRPr="000C4E5F">
              <w:rPr>
                <w:b/>
                <w:i/>
              </w:rPr>
              <w:t>Generic common name:</w:t>
            </w:r>
          </w:p>
        </w:tc>
        <w:tc>
          <w:tcPr>
            <w:tcW w:w="5941" w:type="dxa"/>
          </w:tcPr>
          <w:p w14:paraId="02A3C828" w14:textId="77777777" w:rsidR="000C4E5F" w:rsidRPr="000C4E5F" w:rsidRDefault="000C4E5F" w:rsidP="000C4E5F">
            <w:pPr>
              <w:spacing w:before="120" w:after="120"/>
            </w:pPr>
            <w:r w:rsidRPr="000C4E5F">
              <w:t>Glucoamylase</w:t>
            </w:r>
          </w:p>
        </w:tc>
      </w:tr>
      <w:tr w:rsidR="000C4E5F" w:rsidRPr="000C4E5F" w14:paraId="164C8A0D" w14:textId="77777777" w:rsidTr="00551114">
        <w:tc>
          <w:tcPr>
            <w:tcW w:w="3119" w:type="dxa"/>
          </w:tcPr>
          <w:p w14:paraId="6BDA3807" w14:textId="77777777" w:rsidR="000C4E5F" w:rsidRPr="000C4E5F" w:rsidRDefault="000C4E5F" w:rsidP="000C4E5F">
            <w:pPr>
              <w:spacing w:before="120" w:after="120"/>
              <w:rPr>
                <w:b/>
                <w:i/>
              </w:rPr>
            </w:pPr>
            <w:r w:rsidRPr="000C4E5F">
              <w:rPr>
                <w:b/>
                <w:i/>
              </w:rPr>
              <w:t>Accepted IUBMB</w:t>
            </w:r>
            <w:r w:rsidRPr="000C4E5F">
              <w:rPr>
                <w:b/>
                <w:i/>
                <w:vertAlign w:val="superscript"/>
              </w:rPr>
              <w:footnoteReference w:id="3"/>
            </w:r>
            <w:r w:rsidRPr="000C4E5F">
              <w:rPr>
                <w:b/>
                <w:i/>
              </w:rPr>
              <w:t xml:space="preserve"> name:</w:t>
            </w:r>
          </w:p>
        </w:tc>
        <w:tc>
          <w:tcPr>
            <w:tcW w:w="5941" w:type="dxa"/>
          </w:tcPr>
          <w:p w14:paraId="2DA461E6" w14:textId="77777777" w:rsidR="000C4E5F" w:rsidRPr="000C4E5F" w:rsidRDefault="000C4E5F" w:rsidP="000C4E5F">
            <w:pPr>
              <w:spacing w:before="120" w:after="120"/>
            </w:pPr>
            <w:r w:rsidRPr="000C4E5F">
              <w:t>glucan 1,4-α-glucosidase</w:t>
            </w:r>
          </w:p>
        </w:tc>
      </w:tr>
      <w:tr w:rsidR="000C4E5F" w:rsidRPr="000C4E5F" w14:paraId="6EDFBFCF" w14:textId="77777777" w:rsidTr="00551114">
        <w:tc>
          <w:tcPr>
            <w:tcW w:w="3119" w:type="dxa"/>
          </w:tcPr>
          <w:p w14:paraId="1158D1DE" w14:textId="77777777" w:rsidR="000C4E5F" w:rsidRPr="000C4E5F" w:rsidRDefault="000C4E5F" w:rsidP="000C4E5F">
            <w:pPr>
              <w:spacing w:before="120" w:after="120"/>
              <w:rPr>
                <w:b/>
                <w:i/>
              </w:rPr>
            </w:pPr>
            <w:r w:rsidRPr="000C4E5F">
              <w:rPr>
                <w:b/>
                <w:i/>
              </w:rPr>
              <w:t>Systematic name:</w:t>
            </w:r>
          </w:p>
        </w:tc>
        <w:tc>
          <w:tcPr>
            <w:tcW w:w="5941" w:type="dxa"/>
          </w:tcPr>
          <w:p w14:paraId="1777ED85" w14:textId="77777777" w:rsidR="000C4E5F" w:rsidRPr="000C4E5F" w:rsidRDefault="000C4E5F" w:rsidP="000C4E5F">
            <w:pPr>
              <w:spacing w:before="120" w:after="120"/>
            </w:pPr>
            <w:r w:rsidRPr="000C4E5F">
              <w:t>4-α-D-glucan glucohydrolase</w:t>
            </w:r>
          </w:p>
        </w:tc>
      </w:tr>
      <w:tr w:rsidR="000C4E5F" w:rsidRPr="000C4E5F" w14:paraId="20C75706" w14:textId="77777777" w:rsidTr="00551114">
        <w:tc>
          <w:tcPr>
            <w:tcW w:w="3119" w:type="dxa"/>
          </w:tcPr>
          <w:p w14:paraId="18CE66C1" w14:textId="77777777" w:rsidR="000C4E5F" w:rsidRPr="000C4E5F" w:rsidRDefault="000C4E5F" w:rsidP="000C4E5F">
            <w:pPr>
              <w:spacing w:before="120" w:after="120"/>
              <w:rPr>
                <w:b/>
                <w:i/>
              </w:rPr>
            </w:pPr>
            <w:r w:rsidRPr="000C4E5F">
              <w:rPr>
                <w:b/>
                <w:i/>
              </w:rPr>
              <w:t>Other names:</w:t>
            </w:r>
            <w:r w:rsidRPr="000C4E5F">
              <w:rPr>
                <w:b/>
                <w:i/>
              </w:rPr>
              <w:tab/>
            </w:r>
          </w:p>
        </w:tc>
        <w:tc>
          <w:tcPr>
            <w:tcW w:w="5941" w:type="dxa"/>
          </w:tcPr>
          <w:p w14:paraId="4148CC03" w14:textId="77777777" w:rsidR="000C4E5F" w:rsidRPr="000C4E5F" w:rsidRDefault="000C4E5F" w:rsidP="000C4E5F">
            <w:pPr>
              <w:spacing w:before="120" w:after="120"/>
            </w:pPr>
            <w:r w:rsidRPr="000C4E5F">
              <w:t>glucoamylase; amyloglucosidase; γ-amylase; lysosomal α-glucosidase; acid maltase; exo-1,4-α-glucosidase; glucose amylase; γ-1,4-glucan glucohydrolase; acid maltase; 1,4-α-D-glucan glucohydrolase</w:t>
            </w:r>
          </w:p>
        </w:tc>
      </w:tr>
      <w:tr w:rsidR="000C4E5F" w:rsidRPr="000C4E5F" w14:paraId="53F757C9" w14:textId="77777777" w:rsidTr="00551114">
        <w:tc>
          <w:tcPr>
            <w:tcW w:w="3119" w:type="dxa"/>
          </w:tcPr>
          <w:p w14:paraId="1A62430B" w14:textId="250CC674" w:rsidR="000C4E5F" w:rsidRPr="000C4E5F" w:rsidRDefault="000C4E5F" w:rsidP="000C4E5F">
            <w:pPr>
              <w:spacing w:before="120" w:after="120"/>
              <w:rPr>
                <w:b/>
                <w:i/>
              </w:rPr>
            </w:pPr>
            <w:r w:rsidRPr="000C4E5F">
              <w:rPr>
                <w:b/>
                <w:i/>
              </w:rPr>
              <w:t>EC number:</w:t>
            </w:r>
            <w:r w:rsidRPr="000C4E5F">
              <w:rPr>
                <w:b/>
                <w:i/>
              </w:rPr>
              <w:tab/>
            </w:r>
          </w:p>
        </w:tc>
        <w:tc>
          <w:tcPr>
            <w:tcW w:w="5941" w:type="dxa"/>
          </w:tcPr>
          <w:p w14:paraId="46B2C9DF" w14:textId="77777777" w:rsidR="000C4E5F" w:rsidRPr="000C4E5F" w:rsidRDefault="000C4E5F" w:rsidP="000C4E5F">
            <w:pPr>
              <w:spacing w:before="120" w:after="120"/>
            </w:pPr>
            <w:r w:rsidRPr="000C4E5F">
              <w:t>3.2.1.3</w:t>
            </w:r>
          </w:p>
        </w:tc>
      </w:tr>
      <w:tr w:rsidR="000C4E5F" w:rsidRPr="000C4E5F" w14:paraId="27D44293" w14:textId="77777777" w:rsidTr="00551114">
        <w:tc>
          <w:tcPr>
            <w:tcW w:w="3119" w:type="dxa"/>
          </w:tcPr>
          <w:p w14:paraId="52EFA9D0" w14:textId="77777777" w:rsidR="000C4E5F" w:rsidRPr="000C4E5F" w:rsidRDefault="000C4E5F" w:rsidP="000C4E5F">
            <w:pPr>
              <w:spacing w:before="120" w:after="120"/>
              <w:rPr>
                <w:b/>
                <w:i/>
              </w:rPr>
            </w:pPr>
            <w:r w:rsidRPr="000C4E5F">
              <w:rPr>
                <w:b/>
                <w:i/>
              </w:rPr>
              <w:t>CAS</w:t>
            </w:r>
            <w:r w:rsidRPr="000C4E5F">
              <w:rPr>
                <w:b/>
                <w:i/>
                <w:vertAlign w:val="superscript"/>
              </w:rPr>
              <w:footnoteReference w:id="4"/>
            </w:r>
            <w:r w:rsidRPr="000C4E5F">
              <w:rPr>
                <w:b/>
                <w:i/>
              </w:rPr>
              <w:t xml:space="preserve"> registry number:</w:t>
            </w:r>
          </w:p>
        </w:tc>
        <w:tc>
          <w:tcPr>
            <w:tcW w:w="5941" w:type="dxa"/>
          </w:tcPr>
          <w:p w14:paraId="4F526AB3" w14:textId="77777777" w:rsidR="000C4E5F" w:rsidRPr="000C4E5F" w:rsidRDefault="000C4E5F" w:rsidP="000C4E5F">
            <w:pPr>
              <w:spacing w:before="120" w:after="120"/>
            </w:pPr>
            <w:r w:rsidRPr="000C4E5F">
              <w:t>9032-08-0</w:t>
            </w:r>
          </w:p>
        </w:tc>
      </w:tr>
      <w:tr w:rsidR="000C4E5F" w:rsidRPr="000C4E5F" w14:paraId="4E4FFB43" w14:textId="77777777" w:rsidTr="00551114">
        <w:tc>
          <w:tcPr>
            <w:tcW w:w="3119" w:type="dxa"/>
          </w:tcPr>
          <w:p w14:paraId="150ACA4F" w14:textId="77777777" w:rsidR="000C4E5F" w:rsidRPr="000C4E5F" w:rsidRDefault="000C4E5F" w:rsidP="000C4E5F">
            <w:pPr>
              <w:spacing w:before="120" w:after="120"/>
              <w:rPr>
                <w:b/>
                <w:i/>
              </w:rPr>
            </w:pPr>
            <w:r w:rsidRPr="000C4E5F">
              <w:rPr>
                <w:b/>
                <w:i/>
              </w:rPr>
              <w:t>Reaction:</w:t>
            </w:r>
          </w:p>
        </w:tc>
        <w:tc>
          <w:tcPr>
            <w:tcW w:w="5941" w:type="dxa"/>
          </w:tcPr>
          <w:p w14:paraId="5A00086C" w14:textId="77777777" w:rsidR="000C4E5F" w:rsidRPr="000C4E5F" w:rsidRDefault="000C4E5F" w:rsidP="000C4E5F">
            <w:pPr>
              <w:spacing w:before="120" w:after="120"/>
            </w:pPr>
            <w:r w:rsidRPr="000C4E5F">
              <w:t>Hydrolysis of terminal (1→4)-linked α-D-glucose residues successively from non-reducing ends of the chains with release of β-D-glucose</w:t>
            </w:r>
          </w:p>
        </w:tc>
      </w:tr>
    </w:tbl>
    <w:p w14:paraId="00373760" w14:textId="076ED86B" w:rsidR="00EE7A64" w:rsidRDefault="00EE7A64" w:rsidP="00EE7A64"/>
    <w:p w14:paraId="427135D8" w14:textId="61B06897" w:rsidR="00EE7A64" w:rsidRDefault="00EE7A64" w:rsidP="00EE7A64">
      <w:r>
        <w:t>The optimum temperature for enzyme activity is 60</w:t>
      </w:r>
      <w:r w:rsidR="00840542">
        <w:rPr>
          <w:rFonts w:cs="Arial"/>
        </w:rPr>
        <w:t>°</w:t>
      </w:r>
      <w:r>
        <w:t xml:space="preserve">C, with reasonable activity between </w:t>
      </w:r>
      <w:r w:rsidR="00840542">
        <w:br/>
      </w:r>
      <w:r>
        <w:t>50-70</w:t>
      </w:r>
      <w:r w:rsidR="00840542">
        <w:rPr>
          <w:rFonts w:cs="Arial"/>
        </w:rPr>
        <w:t>°</w:t>
      </w:r>
      <w:r>
        <w:t>C</w:t>
      </w:r>
      <w:r w:rsidR="00840542">
        <w:t xml:space="preserve">. The optimum pH range for enzyme activity is between 4.8 and 5.2, with the optimum being 4.8. </w:t>
      </w:r>
      <w:r w:rsidR="00840542" w:rsidRPr="00C04610">
        <w:t>The enzyme is deactivated during wort boiling but normal beer pasteurisation temperature treatments do not usually inactivate the enzyme.</w:t>
      </w:r>
    </w:p>
    <w:p w14:paraId="2F6C6E68" w14:textId="43431987" w:rsidR="001E6A7B" w:rsidRDefault="001E6A7B" w:rsidP="00BD59CB">
      <w:pPr>
        <w:pStyle w:val="Heading3"/>
      </w:pPr>
      <w:bookmarkStart w:id="13" w:name="_Toc5629725"/>
      <w:r>
        <w:t>2.1.2</w:t>
      </w:r>
      <w:r>
        <w:tab/>
        <w:t>Technological purpose of the enzyme</w:t>
      </w:r>
      <w:bookmarkEnd w:id="13"/>
    </w:p>
    <w:p w14:paraId="5BE06AF8" w14:textId="77777777" w:rsidR="00691270" w:rsidRPr="00691270" w:rsidRDefault="00691270" w:rsidP="00691270">
      <w:pPr>
        <w:rPr>
          <w:lang w:eastAsia="en-AU" w:bidi="ar-SA"/>
        </w:rPr>
      </w:pPr>
      <w:r w:rsidRPr="00691270">
        <w:rPr>
          <w:lang w:eastAsia="en-AU" w:bidi="ar-SA"/>
        </w:rPr>
        <w:t xml:space="preserve">The technological purpose of glucoamylase is to catalyse the hydrolysis of 1,4-alpha and 1,6-alpha-D-glucosidic linkages in starch polysaccharides. </w:t>
      </w:r>
    </w:p>
    <w:p w14:paraId="4B749152" w14:textId="77777777" w:rsidR="00691270" w:rsidRPr="00691270" w:rsidRDefault="00691270" w:rsidP="00691270">
      <w:pPr>
        <w:rPr>
          <w:lang w:eastAsia="en-AU" w:bidi="ar-SA"/>
        </w:rPr>
      </w:pPr>
    </w:p>
    <w:p w14:paraId="51F7DFD6" w14:textId="237D551E" w:rsidR="00691270" w:rsidRDefault="00691270" w:rsidP="00691270">
      <w:pPr>
        <w:rPr>
          <w:lang w:eastAsia="en-AU" w:bidi="ar-SA"/>
        </w:rPr>
      </w:pPr>
      <w:r w:rsidRPr="00691270">
        <w:rPr>
          <w:lang w:eastAsia="en-AU" w:bidi="ar-SA"/>
        </w:rPr>
        <w:t>The glucoamylase preparation is used as a processing aid during the manufacture of starch based products. Glucoamylase enzymes convert starch by removing D-glucose units in a stepwise manner from the non-reducing end of the substrate molecule to produce glucose for use in:</w:t>
      </w:r>
    </w:p>
    <w:p w14:paraId="1A372450" w14:textId="77777777" w:rsidR="00BF4C28" w:rsidRPr="00691270" w:rsidRDefault="00BF4C28" w:rsidP="00691270">
      <w:pPr>
        <w:rPr>
          <w:lang w:eastAsia="en-AU" w:bidi="ar-SA"/>
        </w:rPr>
      </w:pPr>
    </w:p>
    <w:p w14:paraId="2D5307E9" w14:textId="2F28EA53" w:rsidR="00691270" w:rsidRPr="00691270" w:rsidRDefault="00691270" w:rsidP="00BF4C28">
      <w:pPr>
        <w:pStyle w:val="FSBullet1"/>
        <w:rPr>
          <w:lang w:eastAsia="en-AU"/>
        </w:rPr>
      </w:pPr>
      <w:r w:rsidRPr="00691270">
        <w:rPr>
          <w:lang w:eastAsia="en-AU"/>
        </w:rPr>
        <w:t>the production of syrups</w:t>
      </w:r>
      <w:r w:rsidR="00FB4357">
        <w:rPr>
          <w:lang w:eastAsia="en-AU"/>
        </w:rPr>
        <w:t xml:space="preserve"> (</w:t>
      </w:r>
      <w:r w:rsidRPr="00691270">
        <w:rPr>
          <w:lang w:eastAsia="en-AU"/>
        </w:rPr>
        <w:t>degrades polysaccharides into glucose</w:t>
      </w:r>
      <w:r w:rsidR="00FB4357">
        <w:rPr>
          <w:lang w:eastAsia="en-AU"/>
        </w:rPr>
        <w:t>)</w:t>
      </w:r>
    </w:p>
    <w:p w14:paraId="65633016" w14:textId="04BB70BA" w:rsidR="00691270" w:rsidRPr="00691270" w:rsidRDefault="00691270" w:rsidP="00BF4C28">
      <w:pPr>
        <w:pStyle w:val="FSBullet1"/>
        <w:rPr>
          <w:lang w:eastAsia="en-AU"/>
        </w:rPr>
      </w:pPr>
      <w:r w:rsidRPr="00691270">
        <w:rPr>
          <w:lang w:eastAsia="en-AU"/>
        </w:rPr>
        <w:t>alcohol distilling processes</w:t>
      </w:r>
      <w:r w:rsidR="00FB4357">
        <w:rPr>
          <w:lang w:eastAsia="en-AU"/>
        </w:rPr>
        <w:t xml:space="preserve"> (</w:t>
      </w:r>
      <w:r w:rsidRPr="00691270">
        <w:rPr>
          <w:lang w:eastAsia="en-AU"/>
        </w:rPr>
        <w:t>degrades gelatinised starch and dextrins into glucose and other fermentable sugars</w:t>
      </w:r>
      <w:r w:rsidR="00FB4357">
        <w:rPr>
          <w:lang w:eastAsia="en-AU"/>
        </w:rPr>
        <w:t>)</w:t>
      </w:r>
    </w:p>
    <w:p w14:paraId="2938AFE8" w14:textId="79F3FFBB" w:rsidR="00691270" w:rsidRPr="00691270" w:rsidRDefault="00691270" w:rsidP="00BF4C28">
      <w:pPr>
        <w:pStyle w:val="FSBullet1"/>
        <w:rPr>
          <w:lang w:eastAsia="en-AU"/>
        </w:rPr>
      </w:pPr>
      <w:r w:rsidRPr="00691270">
        <w:rPr>
          <w:lang w:eastAsia="en-AU"/>
        </w:rPr>
        <w:t xml:space="preserve">beer brewing and other cereal based beverage processes </w:t>
      </w:r>
      <w:r w:rsidR="00AD6D33">
        <w:rPr>
          <w:lang w:eastAsia="en-AU"/>
        </w:rPr>
        <w:t xml:space="preserve">utilising </w:t>
      </w:r>
      <w:r w:rsidRPr="00691270">
        <w:rPr>
          <w:lang w:eastAsia="en-AU"/>
        </w:rPr>
        <w:t xml:space="preserve">corn, rice </w:t>
      </w:r>
      <w:r w:rsidR="00AD6D33">
        <w:rPr>
          <w:lang w:eastAsia="en-AU"/>
        </w:rPr>
        <w:t>or</w:t>
      </w:r>
      <w:r w:rsidR="00AD6D33" w:rsidRPr="00691270">
        <w:rPr>
          <w:lang w:eastAsia="en-AU"/>
        </w:rPr>
        <w:t xml:space="preserve"> </w:t>
      </w:r>
      <w:r w:rsidRPr="00691270">
        <w:rPr>
          <w:lang w:eastAsia="en-AU"/>
        </w:rPr>
        <w:t xml:space="preserve">rye, </w:t>
      </w:r>
      <w:r w:rsidR="00AD6D33">
        <w:rPr>
          <w:lang w:eastAsia="en-AU"/>
        </w:rPr>
        <w:t>(</w:t>
      </w:r>
      <w:r w:rsidRPr="00691270">
        <w:rPr>
          <w:lang w:eastAsia="en-AU"/>
        </w:rPr>
        <w:t>converts starch into fermentable sugars</w:t>
      </w:r>
      <w:r w:rsidR="00AD6D33">
        <w:rPr>
          <w:lang w:eastAsia="en-AU"/>
        </w:rPr>
        <w:t>)</w:t>
      </w:r>
    </w:p>
    <w:p w14:paraId="7EC1310B" w14:textId="0D7E393A" w:rsidR="00691270" w:rsidRPr="00691270" w:rsidRDefault="00691270" w:rsidP="00BF4C28">
      <w:pPr>
        <w:pStyle w:val="FSBullet1"/>
        <w:rPr>
          <w:lang w:eastAsia="en-AU"/>
        </w:rPr>
      </w:pPr>
      <w:r w:rsidRPr="00691270">
        <w:rPr>
          <w:lang w:eastAsia="en-AU"/>
        </w:rPr>
        <w:t xml:space="preserve">baking and other cereal based processes </w:t>
      </w:r>
      <w:r w:rsidR="00AD6D33">
        <w:rPr>
          <w:lang w:eastAsia="en-AU"/>
        </w:rPr>
        <w:t>utilising</w:t>
      </w:r>
      <w:r w:rsidRPr="00691270">
        <w:rPr>
          <w:lang w:eastAsia="en-AU"/>
        </w:rPr>
        <w:t xml:space="preserve"> corn, rice </w:t>
      </w:r>
      <w:r w:rsidR="00AD6D33">
        <w:rPr>
          <w:lang w:eastAsia="en-AU"/>
        </w:rPr>
        <w:t>or</w:t>
      </w:r>
      <w:r w:rsidR="00AD6D33" w:rsidRPr="00691270">
        <w:rPr>
          <w:lang w:eastAsia="en-AU"/>
        </w:rPr>
        <w:t xml:space="preserve"> </w:t>
      </w:r>
      <w:r w:rsidRPr="00691270">
        <w:rPr>
          <w:lang w:eastAsia="en-AU"/>
        </w:rPr>
        <w:t xml:space="preserve">rye </w:t>
      </w:r>
      <w:r w:rsidR="00AD6D33">
        <w:rPr>
          <w:lang w:eastAsia="en-AU"/>
        </w:rPr>
        <w:t>(</w:t>
      </w:r>
      <w:r w:rsidRPr="00691270">
        <w:rPr>
          <w:lang w:eastAsia="en-AU"/>
        </w:rPr>
        <w:t>hydrolyses starch, from milled and damaged granules into glucose to be fermented by yeast</w:t>
      </w:r>
      <w:r w:rsidR="00AD6D33">
        <w:rPr>
          <w:lang w:eastAsia="en-AU"/>
        </w:rPr>
        <w:t>)</w:t>
      </w:r>
    </w:p>
    <w:p w14:paraId="54836410" w14:textId="508B629F" w:rsidR="00691270" w:rsidRPr="00691270" w:rsidRDefault="00691270" w:rsidP="00BF4C28">
      <w:pPr>
        <w:pStyle w:val="FSBullet1"/>
        <w:rPr>
          <w:lang w:eastAsia="en-AU"/>
        </w:rPr>
      </w:pPr>
      <w:r w:rsidRPr="00691270">
        <w:rPr>
          <w:lang w:eastAsia="en-AU"/>
        </w:rPr>
        <w:t>processing of fruits and vegetables</w:t>
      </w:r>
      <w:r w:rsidR="00AD6D33">
        <w:rPr>
          <w:lang w:eastAsia="en-AU"/>
        </w:rPr>
        <w:t>(</w:t>
      </w:r>
      <w:r w:rsidRPr="00691270">
        <w:rPr>
          <w:lang w:eastAsia="en-AU"/>
        </w:rPr>
        <w:t>to degrade starch in order to increase yield and to improve efficiencies</w:t>
      </w:r>
      <w:r w:rsidR="00AD6D33">
        <w:rPr>
          <w:lang w:eastAsia="en-AU"/>
        </w:rPr>
        <w:t>)</w:t>
      </w:r>
      <w:r w:rsidRPr="00691270">
        <w:rPr>
          <w:lang w:eastAsia="en-AU"/>
        </w:rPr>
        <w:t>.</w:t>
      </w:r>
    </w:p>
    <w:p w14:paraId="3FB2EED1" w14:textId="7A8175BD" w:rsidR="001E6A7B" w:rsidRDefault="001E6A7B" w:rsidP="00BD59CB">
      <w:pPr>
        <w:pStyle w:val="Heading3"/>
      </w:pPr>
      <w:bookmarkStart w:id="14" w:name="_Toc5629726"/>
      <w:r>
        <w:lastRenderedPageBreak/>
        <w:t>2.1.3</w:t>
      </w:r>
      <w:r>
        <w:tab/>
        <w:t>Technological justification of the enzyme</w:t>
      </w:r>
      <w:bookmarkEnd w:id="14"/>
    </w:p>
    <w:p w14:paraId="7160E7D8" w14:textId="06A9B1E1" w:rsidR="00691270" w:rsidRPr="00691270" w:rsidRDefault="00691270" w:rsidP="00F155B9">
      <w:pPr>
        <w:widowControl/>
        <w:rPr>
          <w:lang w:eastAsia="en-AU" w:bidi="ar-SA"/>
        </w:rPr>
      </w:pPr>
      <w:r w:rsidRPr="00691270">
        <w:rPr>
          <w:lang w:eastAsia="en-AU" w:bidi="ar-SA"/>
        </w:rPr>
        <w:t>In the</w:t>
      </w:r>
      <w:r w:rsidR="001E4D21">
        <w:rPr>
          <w:lang w:eastAsia="en-AU" w:bidi="ar-SA"/>
        </w:rPr>
        <w:t xml:space="preserve"> Australia New Zealand Food Standards Code (the</w:t>
      </w:r>
      <w:r w:rsidRPr="00691270">
        <w:rPr>
          <w:lang w:eastAsia="en-AU" w:bidi="ar-SA"/>
        </w:rPr>
        <w:t xml:space="preserve"> Code</w:t>
      </w:r>
      <w:r w:rsidR="001E4D21">
        <w:rPr>
          <w:lang w:eastAsia="en-AU" w:bidi="ar-SA"/>
        </w:rPr>
        <w:t>)</w:t>
      </w:r>
      <w:r w:rsidRPr="00691270">
        <w:rPr>
          <w:lang w:eastAsia="en-AU" w:bidi="ar-SA"/>
        </w:rPr>
        <w:t xml:space="preserve">, </w:t>
      </w:r>
      <w:r w:rsidRPr="00691270">
        <w:rPr>
          <w:i/>
          <w:lang w:eastAsia="en-AU" w:bidi="ar-SA"/>
        </w:rPr>
        <w:t>A</w:t>
      </w:r>
      <w:r w:rsidR="00AD6D33">
        <w:rPr>
          <w:i/>
          <w:lang w:eastAsia="en-AU" w:bidi="ar-SA"/>
        </w:rPr>
        <w:t>.</w:t>
      </w:r>
      <w:r w:rsidRPr="00691270">
        <w:rPr>
          <w:i/>
          <w:lang w:eastAsia="en-AU" w:bidi="ar-SA"/>
        </w:rPr>
        <w:t xml:space="preserve"> niger</w:t>
      </w:r>
      <w:r w:rsidRPr="00691270">
        <w:rPr>
          <w:lang w:eastAsia="en-AU" w:bidi="ar-SA"/>
        </w:rPr>
        <w:t xml:space="preserve"> is an approved production source for a number of enzymes. The Code however does not </w:t>
      </w:r>
      <w:r w:rsidR="00075E88">
        <w:rPr>
          <w:lang w:eastAsia="en-AU" w:bidi="ar-SA"/>
        </w:rPr>
        <w:t>permit</w:t>
      </w:r>
      <w:r w:rsidR="00075E88" w:rsidRPr="00691270">
        <w:rPr>
          <w:lang w:eastAsia="en-AU" w:bidi="ar-SA"/>
        </w:rPr>
        <w:t xml:space="preserve"> </w:t>
      </w:r>
      <w:r w:rsidRPr="00691270">
        <w:rPr>
          <w:lang w:eastAsia="en-AU" w:bidi="ar-SA"/>
        </w:rPr>
        <w:t xml:space="preserve">glucoamylase from </w:t>
      </w:r>
      <w:r w:rsidR="00AD6D33" w:rsidRPr="00691270">
        <w:rPr>
          <w:i/>
          <w:lang w:eastAsia="en-AU" w:bidi="ar-SA"/>
        </w:rPr>
        <w:t>A</w:t>
      </w:r>
      <w:r w:rsidR="00AD6D33">
        <w:rPr>
          <w:i/>
          <w:lang w:eastAsia="en-AU" w:bidi="ar-SA"/>
        </w:rPr>
        <w:t>.</w:t>
      </w:r>
      <w:r w:rsidR="00AD6D33" w:rsidRPr="00691270">
        <w:rPr>
          <w:i/>
          <w:lang w:eastAsia="en-AU" w:bidi="ar-SA"/>
        </w:rPr>
        <w:t xml:space="preserve"> </w:t>
      </w:r>
      <w:r w:rsidRPr="00691270">
        <w:rPr>
          <w:i/>
          <w:lang w:eastAsia="en-AU" w:bidi="ar-SA"/>
        </w:rPr>
        <w:t>niger</w:t>
      </w:r>
      <w:r w:rsidRPr="00691270">
        <w:rPr>
          <w:lang w:eastAsia="en-AU" w:bidi="ar-SA"/>
        </w:rPr>
        <w:t xml:space="preserve"> containing the gene for glucoamylase from </w:t>
      </w:r>
      <w:r w:rsidR="00AD6D33" w:rsidRPr="00691270">
        <w:rPr>
          <w:i/>
          <w:lang w:eastAsia="en-AU" w:bidi="ar-SA"/>
        </w:rPr>
        <w:t>T</w:t>
      </w:r>
      <w:r w:rsidR="00AD6D33">
        <w:rPr>
          <w:i/>
          <w:lang w:eastAsia="en-AU" w:bidi="ar-SA"/>
        </w:rPr>
        <w:t>.</w:t>
      </w:r>
      <w:r w:rsidR="00AD6D33" w:rsidRPr="00691270">
        <w:rPr>
          <w:i/>
          <w:lang w:eastAsia="en-AU" w:bidi="ar-SA"/>
        </w:rPr>
        <w:t xml:space="preserve"> </w:t>
      </w:r>
      <w:r w:rsidRPr="00691270">
        <w:rPr>
          <w:i/>
          <w:lang w:eastAsia="en-AU" w:bidi="ar-SA"/>
        </w:rPr>
        <w:t>emersonii</w:t>
      </w:r>
      <w:r w:rsidRPr="00691270">
        <w:rPr>
          <w:lang w:eastAsia="en-AU" w:bidi="ar-SA"/>
        </w:rPr>
        <w:t>.</w:t>
      </w:r>
    </w:p>
    <w:p w14:paraId="2DAB4B9F" w14:textId="77777777" w:rsidR="00691270" w:rsidRPr="00691270" w:rsidRDefault="00691270" w:rsidP="00691270">
      <w:pPr>
        <w:rPr>
          <w:lang w:eastAsia="en-AU" w:bidi="ar-SA"/>
        </w:rPr>
      </w:pPr>
    </w:p>
    <w:p w14:paraId="1F80D9DF" w14:textId="7085BF08" w:rsidR="00691270" w:rsidRPr="00691270" w:rsidRDefault="00691270" w:rsidP="00691270">
      <w:pPr>
        <w:rPr>
          <w:rFonts w:ascii="CIDFont+F1" w:eastAsia="Calibri" w:hAnsi="CIDFont+F1" w:cs="CIDFont+F1"/>
          <w:szCs w:val="22"/>
          <w:lang w:bidi="ar-SA"/>
        </w:rPr>
      </w:pPr>
      <w:r w:rsidRPr="00691270">
        <w:rPr>
          <w:lang w:eastAsia="en-AU" w:bidi="ar-SA"/>
        </w:rPr>
        <w:t xml:space="preserve">This particular glucoamylase preparation </w:t>
      </w:r>
      <w:r w:rsidRPr="00691270">
        <w:rPr>
          <w:rFonts w:ascii="CIDFont+F1" w:eastAsia="Calibri" w:hAnsi="CIDFont+F1" w:cs="CIDFont+F1"/>
          <w:szCs w:val="22"/>
          <w:lang w:bidi="ar-SA"/>
        </w:rPr>
        <w:t xml:space="preserve">will provide the food and beverage industry with the opportunity to improve the yield of fermentable sugars for baking, distilling, brewing and improve the yield and facilitate processing in the juice industry. </w:t>
      </w:r>
    </w:p>
    <w:p w14:paraId="2D3301F3" w14:textId="77777777" w:rsidR="00691270" w:rsidRPr="00691270" w:rsidRDefault="00691270" w:rsidP="00691270">
      <w:pPr>
        <w:rPr>
          <w:lang w:eastAsia="en-AU" w:bidi="ar-SA"/>
        </w:rPr>
      </w:pPr>
    </w:p>
    <w:p w14:paraId="18DE9B20" w14:textId="77777777" w:rsidR="00691270" w:rsidRPr="00691270" w:rsidRDefault="00691270" w:rsidP="00691270">
      <w:pPr>
        <w:rPr>
          <w:lang w:eastAsia="en-AU" w:bidi="ar-SA"/>
        </w:rPr>
      </w:pPr>
      <w:r w:rsidRPr="00691270">
        <w:rPr>
          <w:b/>
          <w:i/>
          <w:lang w:eastAsia="en-AU" w:bidi="ar-SA"/>
        </w:rPr>
        <w:t xml:space="preserve">Table 1: </w:t>
      </w:r>
      <w:r w:rsidRPr="000B5751">
        <w:rPr>
          <w:i/>
          <w:lang w:eastAsia="en-AU" w:bidi="ar-SA"/>
        </w:rPr>
        <w:t>Benefits provided by glucoamylase</w:t>
      </w:r>
    </w:p>
    <w:p w14:paraId="2EF1D7EB" w14:textId="77777777" w:rsidR="00691270" w:rsidRPr="00691270" w:rsidRDefault="00691270" w:rsidP="00691270">
      <w:pPr>
        <w:rPr>
          <w:lang w:eastAsia="en-AU" w:bidi="ar-SA"/>
        </w:rPr>
      </w:pPr>
      <w:r w:rsidRPr="00691270">
        <w:rPr>
          <w:lang w:eastAsia="en-AU" w:bidi="ar-SA"/>
        </w:rPr>
        <w:t xml:space="preserve"> </w:t>
      </w:r>
    </w:p>
    <w:tbl>
      <w:tblPr>
        <w:tblStyle w:val="TableGrid1"/>
        <w:tblW w:w="0" w:type="auto"/>
        <w:tblLook w:val="04A0" w:firstRow="1" w:lastRow="0" w:firstColumn="1" w:lastColumn="0" w:noHBand="0" w:noVBand="1"/>
        <w:tblDescription w:val="Summary of the benefits of the enzyme used for starch processing, alcohol distilling, brewing, baking and fruit and vegetable processing"/>
      </w:tblPr>
      <w:tblGrid>
        <w:gridCol w:w="2547"/>
        <w:gridCol w:w="6513"/>
      </w:tblGrid>
      <w:tr w:rsidR="00691270" w:rsidRPr="00691270" w14:paraId="71659CAB" w14:textId="77777777" w:rsidTr="00551114">
        <w:tc>
          <w:tcPr>
            <w:tcW w:w="2547" w:type="dxa"/>
          </w:tcPr>
          <w:p w14:paraId="0EF51C2E" w14:textId="77777777" w:rsidR="00691270" w:rsidRPr="00691270" w:rsidRDefault="00691270" w:rsidP="00691270">
            <w:pPr>
              <w:jc w:val="center"/>
              <w:rPr>
                <w:b/>
                <w:i/>
                <w:lang w:eastAsia="en-AU" w:bidi="ar-SA"/>
              </w:rPr>
            </w:pPr>
            <w:r w:rsidRPr="00691270">
              <w:rPr>
                <w:b/>
                <w:i/>
                <w:lang w:eastAsia="en-AU" w:bidi="ar-SA"/>
              </w:rPr>
              <w:t>Area of use</w:t>
            </w:r>
          </w:p>
        </w:tc>
        <w:tc>
          <w:tcPr>
            <w:tcW w:w="6513" w:type="dxa"/>
          </w:tcPr>
          <w:p w14:paraId="6C46C0F6" w14:textId="77777777" w:rsidR="00691270" w:rsidRPr="00691270" w:rsidRDefault="00691270" w:rsidP="00691270">
            <w:pPr>
              <w:ind w:left="357"/>
              <w:contextualSpacing/>
              <w:jc w:val="center"/>
              <w:rPr>
                <w:b/>
                <w:i/>
                <w:lang w:eastAsia="en-AU" w:bidi="ar-SA"/>
              </w:rPr>
            </w:pPr>
            <w:r w:rsidRPr="00691270">
              <w:rPr>
                <w:b/>
                <w:i/>
                <w:lang w:eastAsia="en-AU" w:bidi="ar-SA"/>
              </w:rPr>
              <w:t>Benefit</w:t>
            </w:r>
          </w:p>
        </w:tc>
      </w:tr>
      <w:tr w:rsidR="00691270" w:rsidRPr="00691270" w14:paraId="0DB103CD" w14:textId="77777777" w:rsidTr="00551114">
        <w:tc>
          <w:tcPr>
            <w:tcW w:w="2547" w:type="dxa"/>
          </w:tcPr>
          <w:p w14:paraId="62383D56" w14:textId="77777777" w:rsidR="00691270" w:rsidRPr="00691270" w:rsidRDefault="00691270" w:rsidP="00691270">
            <w:pPr>
              <w:rPr>
                <w:lang w:eastAsia="en-AU" w:bidi="ar-SA"/>
              </w:rPr>
            </w:pPr>
            <w:r w:rsidRPr="00691270">
              <w:rPr>
                <w:lang w:eastAsia="en-AU" w:bidi="ar-SA"/>
              </w:rPr>
              <w:t>Starch processing</w:t>
            </w:r>
          </w:p>
        </w:tc>
        <w:tc>
          <w:tcPr>
            <w:tcW w:w="6513" w:type="dxa"/>
          </w:tcPr>
          <w:p w14:paraId="2295F7C4"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Efficient degradation of dextrins and production of glucose</w:t>
            </w:r>
          </w:p>
          <w:p w14:paraId="6E4EE6C7"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Can be used at high temperatures</w:t>
            </w:r>
          </w:p>
          <w:p w14:paraId="63F8528F" w14:textId="02A7DE21" w:rsidR="00691270" w:rsidRPr="00691270" w:rsidRDefault="00691270" w:rsidP="00691270">
            <w:pPr>
              <w:numPr>
                <w:ilvl w:val="0"/>
                <w:numId w:val="12"/>
              </w:numPr>
              <w:ind w:left="357" w:hanging="357"/>
              <w:contextualSpacing/>
              <w:rPr>
                <w:lang w:eastAsia="en-AU" w:bidi="ar-SA"/>
              </w:rPr>
            </w:pPr>
            <w:r w:rsidRPr="00691270">
              <w:rPr>
                <w:lang w:eastAsia="en-AU" w:bidi="ar-SA"/>
              </w:rPr>
              <w:t xml:space="preserve">Less risk of </w:t>
            </w:r>
            <w:r w:rsidR="007142EC">
              <w:rPr>
                <w:lang w:eastAsia="en-AU" w:bidi="ar-SA"/>
              </w:rPr>
              <w:t xml:space="preserve">microbial </w:t>
            </w:r>
            <w:r w:rsidRPr="00691270">
              <w:rPr>
                <w:lang w:eastAsia="en-AU" w:bidi="ar-SA"/>
              </w:rPr>
              <w:t>contamination</w:t>
            </w:r>
            <w:r w:rsidR="007142EC">
              <w:rPr>
                <w:lang w:eastAsia="en-AU" w:bidi="ar-SA"/>
              </w:rPr>
              <w:t xml:space="preserve"> due to enzyme being able to function at higher temperatures during processing</w:t>
            </w:r>
          </w:p>
          <w:p w14:paraId="488411F0"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Stable process allowing for variations in temperature</w:t>
            </w:r>
          </w:p>
        </w:tc>
      </w:tr>
      <w:tr w:rsidR="00691270" w:rsidRPr="00691270" w14:paraId="4C56F726" w14:textId="77777777" w:rsidTr="00551114">
        <w:tc>
          <w:tcPr>
            <w:tcW w:w="2547" w:type="dxa"/>
          </w:tcPr>
          <w:p w14:paraId="5AEB7A41" w14:textId="77777777" w:rsidR="00691270" w:rsidRPr="00691270" w:rsidRDefault="00691270" w:rsidP="00691270">
            <w:pPr>
              <w:rPr>
                <w:lang w:eastAsia="en-AU" w:bidi="ar-SA"/>
              </w:rPr>
            </w:pPr>
            <w:r w:rsidRPr="00691270">
              <w:rPr>
                <w:lang w:eastAsia="en-AU" w:bidi="ar-SA"/>
              </w:rPr>
              <w:t>Alcohol distilling</w:t>
            </w:r>
          </w:p>
        </w:tc>
        <w:tc>
          <w:tcPr>
            <w:tcW w:w="6513" w:type="dxa"/>
          </w:tcPr>
          <w:p w14:paraId="16BE04F4"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Efficient degradation of dextrins and production of fermentable sugars</w:t>
            </w:r>
          </w:p>
          <w:p w14:paraId="12D0C95A" w14:textId="1D5044CC" w:rsidR="00691270" w:rsidRPr="00691270" w:rsidRDefault="00AD6D33" w:rsidP="00691270">
            <w:pPr>
              <w:numPr>
                <w:ilvl w:val="0"/>
                <w:numId w:val="12"/>
              </w:numPr>
              <w:ind w:left="357" w:hanging="357"/>
              <w:contextualSpacing/>
              <w:rPr>
                <w:lang w:eastAsia="en-AU" w:bidi="ar-SA"/>
              </w:rPr>
            </w:pPr>
            <w:r>
              <w:rPr>
                <w:lang w:eastAsia="en-AU" w:bidi="ar-SA"/>
              </w:rPr>
              <w:t>Reduction</w:t>
            </w:r>
            <w:r w:rsidR="00691270" w:rsidRPr="00691270">
              <w:rPr>
                <w:lang w:eastAsia="en-AU" w:bidi="ar-SA"/>
              </w:rPr>
              <w:t xml:space="preserve"> of raw materials</w:t>
            </w:r>
            <w:r>
              <w:rPr>
                <w:lang w:eastAsia="en-AU" w:bidi="ar-SA"/>
              </w:rPr>
              <w:t xml:space="preserve"> used</w:t>
            </w:r>
            <w:r w:rsidR="00691270" w:rsidRPr="00691270">
              <w:rPr>
                <w:lang w:eastAsia="en-AU" w:bidi="ar-SA"/>
              </w:rPr>
              <w:t xml:space="preserve"> </w:t>
            </w:r>
          </w:p>
          <w:p w14:paraId="6EC94AD3" w14:textId="68D2EB50" w:rsidR="00691270" w:rsidRPr="00691270" w:rsidRDefault="00AD6D33" w:rsidP="00691270">
            <w:pPr>
              <w:numPr>
                <w:ilvl w:val="0"/>
                <w:numId w:val="12"/>
              </w:numPr>
              <w:ind w:left="357" w:hanging="357"/>
              <w:contextualSpacing/>
              <w:rPr>
                <w:lang w:eastAsia="en-AU" w:bidi="ar-SA"/>
              </w:rPr>
            </w:pPr>
            <w:r>
              <w:rPr>
                <w:lang w:eastAsia="en-AU" w:bidi="ar-SA"/>
              </w:rPr>
              <w:t>Superior</w:t>
            </w:r>
            <w:r w:rsidR="00691270" w:rsidRPr="00691270">
              <w:rPr>
                <w:lang w:eastAsia="en-AU" w:bidi="ar-SA"/>
              </w:rPr>
              <w:t xml:space="preserve"> conversion of starch </w:t>
            </w:r>
          </w:p>
          <w:p w14:paraId="3B486548" w14:textId="03EBE12F" w:rsidR="00691270" w:rsidRPr="00691270" w:rsidRDefault="00AD6D33" w:rsidP="00691270">
            <w:pPr>
              <w:numPr>
                <w:ilvl w:val="0"/>
                <w:numId w:val="12"/>
              </w:numPr>
              <w:ind w:left="357" w:hanging="357"/>
              <w:contextualSpacing/>
              <w:rPr>
                <w:lang w:eastAsia="en-AU" w:bidi="ar-SA"/>
              </w:rPr>
            </w:pPr>
            <w:r>
              <w:rPr>
                <w:lang w:eastAsia="en-AU" w:bidi="ar-SA"/>
              </w:rPr>
              <w:t>Superior</w:t>
            </w:r>
            <w:r w:rsidRPr="00691270">
              <w:rPr>
                <w:lang w:eastAsia="en-AU" w:bidi="ar-SA"/>
              </w:rPr>
              <w:t xml:space="preserve"> </w:t>
            </w:r>
            <w:r w:rsidR="00691270" w:rsidRPr="00691270">
              <w:rPr>
                <w:lang w:eastAsia="en-AU" w:bidi="ar-SA"/>
              </w:rPr>
              <w:t xml:space="preserve">alcohol yields </w:t>
            </w:r>
          </w:p>
          <w:p w14:paraId="636252E5" w14:textId="385ADF93" w:rsidR="00691270" w:rsidRPr="00691270" w:rsidRDefault="00AD6D33" w:rsidP="00691270">
            <w:pPr>
              <w:numPr>
                <w:ilvl w:val="0"/>
                <w:numId w:val="12"/>
              </w:numPr>
              <w:ind w:left="357" w:hanging="357"/>
              <w:contextualSpacing/>
              <w:rPr>
                <w:lang w:eastAsia="en-AU" w:bidi="ar-SA"/>
              </w:rPr>
            </w:pPr>
            <w:r>
              <w:rPr>
                <w:lang w:eastAsia="en-AU" w:bidi="ar-SA"/>
              </w:rPr>
              <w:t>Active</w:t>
            </w:r>
            <w:r w:rsidR="00691270" w:rsidRPr="00691270">
              <w:rPr>
                <w:lang w:eastAsia="en-AU" w:bidi="ar-SA"/>
              </w:rPr>
              <w:t xml:space="preserve"> at high temperature and low pH</w:t>
            </w:r>
          </w:p>
          <w:p w14:paraId="4E130FEE" w14:textId="0E414997" w:rsidR="00691270" w:rsidRPr="00691270" w:rsidRDefault="00AD6D33" w:rsidP="00691270">
            <w:pPr>
              <w:numPr>
                <w:ilvl w:val="0"/>
                <w:numId w:val="12"/>
              </w:numPr>
              <w:ind w:left="357" w:hanging="357"/>
              <w:contextualSpacing/>
              <w:rPr>
                <w:lang w:eastAsia="en-AU" w:bidi="ar-SA"/>
              </w:rPr>
            </w:pPr>
            <w:r>
              <w:rPr>
                <w:lang w:eastAsia="en-AU" w:bidi="ar-SA"/>
              </w:rPr>
              <w:t>Reduced</w:t>
            </w:r>
            <w:r w:rsidRPr="00691270">
              <w:rPr>
                <w:lang w:eastAsia="en-AU" w:bidi="ar-SA"/>
              </w:rPr>
              <w:t xml:space="preserve"> </w:t>
            </w:r>
            <w:r w:rsidR="00691270" w:rsidRPr="00691270">
              <w:rPr>
                <w:lang w:eastAsia="en-AU" w:bidi="ar-SA"/>
              </w:rPr>
              <w:t>risk of contamination</w:t>
            </w:r>
            <w:r w:rsidR="007142EC">
              <w:rPr>
                <w:lang w:eastAsia="en-AU" w:bidi="ar-SA"/>
              </w:rPr>
              <w:t xml:space="preserve"> because the enzyme can be used at higher temperatures and lower pH</w:t>
            </w:r>
          </w:p>
        </w:tc>
      </w:tr>
      <w:tr w:rsidR="00691270" w:rsidRPr="00691270" w14:paraId="2BB280D3" w14:textId="77777777" w:rsidTr="00551114">
        <w:tc>
          <w:tcPr>
            <w:tcW w:w="2547" w:type="dxa"/>
          </w:tcPr>
          <w:p w14:paraId="3F5456E7" w14:textId="77777777" w:rsidR="00691270" w:rsidRPr="00691270" w:rsidRDefault="00691270" w:rsidP="00691270">
            <w:pPr>
              <w:rPr>
                <w:lang w:eastAsia="en-AU" w:bidi="ar-SA"/>
              </w:rPr>
            </w:pPr>
            <w:r w:rsidRPr="00691270">
              <w:rPr>
                <w:lang w:eastAsia="en-AU" w:bidi="ar-SA"/>
              </w:rPr>
              <w:t>Brewing processes</w:t>
            </w:r>
          </w:p>
        </w:tc>
        <w:tc>
          <w:tcPr>
            <w:tcW w:w="6513" w:type="dxa"/>
          </w:tcPr>
          <w:p w14:paraId="2196BD8D"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More uniform and predictable production process</w:t>
            </w:r>
          </w:p>
          <w:p w14:paraId="2EF297B3"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Increased brewing yield including the possibility to control the desired level of fermentable sugars</w:t>
            </w:r>
          </w:p>
        </w:tc>
      </w:tr>
      <w:tr w:rsidR="00691270" w:rsidRPr="00691270" w14:paraId="6EB6B2B6" w14:textId="77777777" w:rsidTr="00551114">
        <w:tc>
          <w:tcPr>
            <w:tcW w:w="2547" w:type="dxa"/>
          </w:tcPr>
          <w:p w14:paraId="7A04ED79" w14:textId="77777777" w:rsidR="00691270" w:rsidRPr="00691270" w:rsidRDefault="00691270" w:rsidP="00691270">
            <w:pPr>
              <w:rPr>
                <w:lang w:eastAsia="en-AU" w:bidi="ar-SA"/>
              </w:rPr>
            </w:pPr>
            <w:r w:rsidRPr="00691270">
              <w:rPr>
                <w:lang w:eastAsia="en-AU" w:bidi="ar-SA"/>
              </w:rPr>
              <w:t xml:space="preserve">Baking processes </w:t>
            </w:r>
          </w:p>
        </w:tc>
        <w:tc>
          <w:tcPr>
            <w:tcW w:w="6513" w:type="dxa"/>
          </w:tcPr>
          <w:p w14:paraId="2A173E75"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Reduced baking time and yeast boosting</w:t>
            </w:r>
          </w:p>
          <w:p w14:paraId="58C3DFF3"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Uniform and slightly increased volume</w:t>
            </w:r>
          </w:p>
          <w:p w14:paraId="6D73581F" w14:textId="181473A0" w:rsidR="00691270" w:rsidRPr="00691270" w:rsidRDefault="00AD6D33" w:rsidP="00691270">
            <w:pPr>
              <w:numPr>
                <w:ilvl w:val="0"/>
                <w:numId w:val="12"/>
              </w:numPr>
              <w:ind w:left="357" w:hanging="357"/>
              <w:contextualSpacing/>
              <w:rPr>
                <w:lang w:eastAsia="en-AU" w:bidi="ar-SA"/>
              </w:rPr>
            </w:pPr>
            <w:r>
              <w:rPr>
                <w:lang w:eastAsia="en-AU" w:bidi="ar-SA"/>
              </w:rPr>
              <w:t>Improved</w:t>
            </w:r>
            <w:r w:rsidRPr="00691270">
              <w:rPr>
                <w:lang w:eastAsia="en-AU" w:bidi="ar-SA"/>
              </w:rPr>
              <w:t xml:space="preserve"> </w:t>
            </w:r>
            <w:r w:rsidR="00691270" w:rsidRPr="00691270">
              <w:rPr>
                <w:lang w:eastAsia="en-AU" w:bidi="ar-SA"/>
              </w:rPr>
              <w:t xml:space="preserve">crust colour </w:t>
            </w:r>
          </w:p>
          <w:p w14:paraId="7D089E36"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More uniform and predictable production of glucose</w:t>
            </w:r>
          </w:p>
          <w:p w14:paraId="4EAA6EAF" w14:textId="027A09D0" w:rsidR="00691270" w:rsidRPr="00691270" w:rsidRDefault="00691270" w:rsidP="00691270">
            <w:pPr>
              <w:numPr>
                <w:ilvl w:val="0"/>
                <w:numId w:val="12"/>
              </w:numPr>
              <w:ind w:left="357" w:hanging="357"/>
              <w:contextualSpacing/>
              <w:rPr>
                <w:lang w:eastAsia="en-AU" w:bidi="ar-SA"/>
              </w:rPr>
            </w:pPr>
            <w:r w:rsidRPr="00691270">
              <w:rPr>
                <w:lang w:eastAsia="en-AU" w:bidi="ar-SA"/>
              </w:rPr>
              <w:t xml:space="preserve">Improved </w:t>
            </w:r>
            <w:r w:rsidR="00AD6D33" w:rsidRPr="00691270">
              <w:rPr>
                <w:lang w:eastAsia="en-AU" w:bidi="ar-SA"/>
              </w:rPr>
              <w:t>fermenta</w:t>
            </w:r>
            <w:r w:rsidR="00AD6D33">
              <w:rPr>
                <w:lang w:eastAsia="en-AU" w:bidi="ar-SA"/>
              </w:rPr>
              <w:t>tion</w:t>
            </w:r>
          </w:p>
          <w:p w14:paraId="7B650D28"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Uniform colour</w:t>
            </w:r>
          </w:p>
        </w:tc>
      </w:tr>
      <w:tr w:rsidR="00691270" w:rsidRPr="00691270" w14:paraId="2809556A" w14:textId="77777777" w:rsidTr="00551114">
        <w:tc>
          <w:tcPr>
            <w:tcW w:w="2547" w:type="dxa"/>
          </w:tcPr>
          <w:p w14:paraId="71F2E1A1" w14:textId="77777777" w:rsidR="00691270" w:rsidRPr="00691270" w:rsidRDefault="00691270" w:rsidP="00691270">
            <w:pPr>
              <w:rPr>
                <w:lang w:eastAsia="en-AU" w:bidi="ar-SA"/>
              </w:rPr>
            </w:pPr>
            <w:r w:rsidRPr="00691270">
              <w:rPr>
                <w:lang w:eastAsia="en-AU" w:bidi="ar-SA"/>
              </w:rPr>
              <w:t>Fruit and vegetable processing</w:t>
            </w:r>
          </w:p>
        </w:tc>
        <w:tc>
          <w:tcPr>
            <w:tcW w:w="6513" w:type="dxa"/>
          </w:tcPr>
          <w:p w14:paraId="0DC6E4E3"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Improved press capacity and filtration rates</w:t>
            </w:r>
          </w:p>
          <w:p w14:paraId="224794A2"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Increased yield</w:t>
            </w:r>
          </w:p>
          <w:p w14:paraId="2F1DDF39" w14:textId="0797B6FD" w:rsidR="00691270" w:rsidRPr="00691270" w:rsidRDefault="00585B00" w:rsidP="00585B00">
            <w:pPr>
              <w:numPr>
                <w:ilvl w:val="0"/>
                <w:numId w:val="12"/>
              </w:numPr>
              <w:ind w:left="357" w:hanging="357"/>
              <w:contextualSpacing/>
              <w:rPr>
                <w:lang w:eastAsia="en-AU" w:bidi="ar-SA"/>
              </w:rPr>
            </w:pPr>
            <w:r>
              <w:rPr>
                <w:lang w:eastAsia="en-AU" w:bidi="ar-SA"/>
              </w:rPr>
              <w:t>Improved clarity</w:t>
            </w:r>
            <w:r w:rsidRPr="00691270">
              <w:rPr>
                <w:lang w:eastAsia="en-AU" w:bidi="ar-SA"/>
              </w:rPr>
              <w:t xml:space="preserve"> </w:t>
            </w:r>
            <w:r w:rsidR="00691270" w:rsidRPr="00691270">
              <w:rPr>
                <w:lang w:eastAsia="en-AU" w:bidi="ar-SA"/>
              </w:rPr>
              <w:t>final product</w:t>
            </w:r>
          </w:p>
        </w:tc>
      </w:tr>
    </w:tbl>
    <w:p w14:paraId="091E96D5" w14:textId="77777777" w:rsidR="00691270" w:rsidRPr="00691270" w:rsidRDefault="00691270" w:rsidP="00691270">
      <w:pPr>
        <w:rPr>
          <w:lang w:eastAsia="en-AU" w:bidi="ar-SA"/>
        </w:rPr>
      </w:pPr>
    </w:p>
    <w:p w14:paraId="758D1C41" w14:textId="2023FE45" w:rsidR="00691270" w:rsidRPr="00691270" w:rsidRDefault="00BB0443" w:rsidP="00691270">
      <w:pPr>
        <w:rPr>
          <w:lang w:eastAsia="en-AU" w:bidi="ar-SA"/>
        </w:rPr>
      </w:pPr>
      <w:r>
        <w:rPr>
          <w:lang w:eastAsia="en-AU" w:bidi="ar-SA"/>
        </w:rPr>
        <w:t>The a</w:t>
      </w:r>
      <w:r w:rsidR="00691270" w:rsidRPr="00691270">
        <w:rPr>
          <w:lang w:eastAsia="en-AU" w:bidi="ar-SA"/>
        </w:rPr>
        <w:t xml:space="preserve">pplicant has provided a technical application sheet and product data sheet for brewing to show that the enzyme achieves its technological purpose in the form and quantity proposed when used as a processing aid. An assessment of this information supports the </w:t>
      </w:r>
      <w:r>
        <w:rPr>
          <w:lang w:eastAsia="en-AU" w:bidi="ar-SA"/>
        </w:rPr>
        <w:t>a</w:t>
      </w:r>
      <w:r w:rsidR="00691270" w:rsidRPr="00691270">
        <w:rPr>
          <w:lang w:eastAsia="en-AU" w:bidi="ar-SA"/>
        </w:rPr>
        <w:t>pplicant’s claims.</w:t>
      </w:r>
      <w:r w:rsidR="0000611A">
        <w:rPr>
          <w:lang w:eastAsia="en-AU" w:bidi="ar-SA"/>
        </w:rPr>
        <w:t xml:space="preserve"> The use of the enzyme for the other proposed uses and food categories use similar processing steps and purposes so can also be understood to be technically justified and appropriate. Food manufacturing companies will conduct their own production trials to ensure the enzyme performs as suggested and provide</w:t>
      </w:r>
      <w:r>
        <w:rPr>
          <w:lang w:eastAsia="en-AU" w:bidi="ar-SA"/>
        </w:rPr>
        <w:t>s technological benefits that are</w:t>
      </w:r>
      <w:r w:rsidR="0000611A">
        <w:rPr>
          <w:lang w:eastAsia="en-AU" w:bidi="ar-SA"/>
        </w:rPr>
        <w:t xml:space="preserve"> economical.</w:t>
      </w:r>
    </w:p>
    <w:p w14:paraId="1B6435E5" w14:textId="77777777" w:rsidR="001E6A7B" w:rsidRDefault="001E6A7B" w:rsidP="00BD59CB">
      <w:pPr>
        <w:pStyle w:val="Heading2"/>
      </w:pPr>
      <w:bookmarkStart w:id="15" w:name="_Toc5629727"/>
      <w:r>
        <w:lastRenderedPageBreak/>
        <w:t>2.2</w:t>
      </w:r>
      <w:r>
        <w:tab/>
        <w:t>Manufacturing process</w:t>
      </w:r>
      <w:bookmarkEnd w:id="15"/>
    </w:p>
    <w:p w14:paraId="6E74515A" w14:textId="2E1A78A3" w:rsidR="001E6A7B" w:rsidRDefault="0035149D" w:rsidP="00BD59CB">
      <w:pPr>
        <w:pStyle w:val="Heading3"/>
      </w:pPr>
      <w:bookmarkStart w:id="16" w:name="_Toc5629728"/>
      <w:r>
        <w:t>2.2.1</w:t>
      </w:r>
      <w:r>
        <w:tab/>
        <w:t>P</w:t>
      </w:r>
      <w:r w:rsidR="001E6A7B">
        <w:t>roduction of the enzyme</w:t>
      </w:r>
      <w:bookmarkEnd w:id="16"/>
    </w:p>
    <w:p w14:paraId="6E156AFE"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The enzyme manufacturing process is composed of a fermentation process, a purification process, a formulation process and finally quality control of the finished product. </w:t>
      </w:r>
    </w:p>
    <w:p w14:paraId="75CBEC4D" w14:textId="77777777" w:rsidR="00BB0443" w:rsidRPr="00691270" w:rsidRDefault="00BB0443" w:rsidP="00691270">
      <w:pPr>
        <w:widowControl/>
        <w:autoSpaceDE w:val="0"/>
        <w:autoSpaceDN w:val="0"/>
        <w:adjustRightInd w:val="0"/>
        <w:rPr>
          <w:lang w:eastAsia="en-AU"/>
        </w:rPr>
      </w:pPr>
    </w:p>
    <w:p w14:paraId="61AE8BA4" w14:textId="77777777" w:rsidR="00691270" w:rsidRPr="00691270" w:rsidRDefault="00691270" w:rsidP="00691270">
      <w:pPr>
        <w:widowControl/>
        <w:autoSpaceDE w:val="0"/>
        <w:autoSpaceDN w:val="0"/>
        <w:adjustRightInd w:val="0"/>
        <w:rPr>
          <w:rFonts w:ascii="CIDFont+F2" w:eastAsia="Calibri" w:hAnsi="CIDFont+F2" w:cs="CIDFont+F2"/>
          <w:b/>
          <w:szCs w:val="22"/>
          <w:lang w:bidi="ar-SA"/>
        </w:rPr>
      </w:pPr>
      <w:r w:rsidRPr="00691270">
        <w:rPr>
          <w:rFonts w:ascii="CIDFont+F2" w:eastAsia="Calibri" w:hAnsi="CIDFont+F2" w:cs="CIDFont+F2"/>
          <w:b/>
          <w:szCs w:val="22"/>
          <w:lang w:bidi="ar-SA"/>
        </w:rPr>
        <w:t>Fermentation</w:t>
      </w:r>
    </w:p>
    <w:p w14:paraId="002FEDFF" w14:textId="4D9B77A6"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The glucoamylase preparation is produced by submerged fed-batch pure culture fermentation of the </w:t>
      </w:r>
      <w:r w:rsidR="0055568B">
        <w:rPr>
          <w:rFonts w:ascii="CIDFont+F1" w:eastAsia="Calibri" w:hAnsi="CIDFont+F1" w:cs="CIDFont+F1"/>
          <w:szCs w:val="22"/>
          <w:lang w:bidi="ar-SA"/>
        </w:rPr>
        <w:t>GM</w:t>
      </w:r>
      <w:r w:rsidRPr="00691270">
        <w:rPr>
          <w:rFonts w:ascii="CIDFont+F1" w:eastAsia="Calibri" w:hAnsi="CIDFont+F1" w:cs="CIDFont+F1"/>
          <w:szCs w:val="22"/>
          <w:lang w:bidi="ar-SA"/>
        </w:rPr>
        <w:t xml:space="preserve"> strain of </w:t>
      </w:r>
      <w:r w:rsidR="00BD59CB" w:rsidRPr="00691270">
        <w:rPr>
          <w:rFonts w:ascii="CIDFont+F1" w:eastAsia="Calibri" w:hAnsi="CIDFont+F1" w:cs="CIDFont+F1"/>
          <w:i/>
          <w:szCs w:val="22"/>
          <w:lang w:bidi="ar-SA"/>
        </w:rPr>
        <w:t>A</w:t>
      </w:r>
      <w:r w:rsidR="00BD59CB">
        <w:rPr>
          <w:rFonts w:ascii="CIDFont+F1" w:eastAsia="Calibri" w:hAnsi="CIDFont+F1" w:cs="CIDFont+F1"/>
          <w:i/>
          <w:szCs w:val="22"/>
          <w:lang w:bidi="ar-SA"/>
        </w:rPr>
        <w:t>.</w:t>
      </w:r>
      <w:r w:rsidR="00BD59CB" w:rsidRPr="00691270">
        <w:rPr>
          <w:rFonts w:ascii="CIDFont+F1" w:eastAsia="Calibri" w:hAnsi="CIDFont+F1" w:cs="CIDFont+F1"/>
          <w:i/>
          <w:szCs w:val="22"/>
          <w:lang w:bidi="ar-SA"/>
        </w:rPr>
        <w:t xml:space="preserve"> </w:t>
      </w:r>
      <w:r w:rsidRPr="00691270">
        <w:rPr>
          <w:rFonts w:ascii="CIDFont+F1" w:eastAsia="Calibri" w:hAnsi="CIDFont+F1" w:cs="CIDFont+F1"/>
          <w:i/>
          <w:szCs w:val="22"/>
          <w:lang w:bidi="ar-SA"/>
        </w:rPr>
        <w:t>niger</w:t>
      </w:r>
      <w:r w:rsidRPr="00691270">
        <w:rPr>
          <w:rFonts w:ascii="CIDFont+F1" w:eastAsia="Calibri" w:hAnsi="CIDFont+F1" w:cs="CIDFont+F1"/>
          <w:szCs w:val="22"/>
          <w:lang w:bidi="ar-SA"/>
        </w:rPr>
        <w:t>. This process is commonly used for the production of food-grade enzymes.</w:t>
      </w:r>
    </w:p>
    <w:p w14:paraId="49C9F3D4"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639BDB97"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The fermentation process involves three steps, inoculation, seed fermentation and main fermentation.</w:t>
      </w:r>
    </w:p>
    <w:p w14:paraId="6D441455"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67CCF0F8" w14:textId="77777777" w:rsidR="00691270" w:rsidRPr="00691270" w:rsidRDefault="00691270" w:rsidP="00691270">
      <w:pPr>
        <w:widowControl/>
        <w:autoSpaceDE w:val="0"/>
        <w:autoSpaceDN w:val="0"/>
        <w:adjustRightInd w:val="0"/>
        <w:rPr>
          <w:rFonts w:ascii="CIDFont+F2" w:eastAsia="Calibri" w:hAnsi="CIDFont+F2" w:cs="CIDFont+F2"/>
          <w:b/>
          <w:szCs w:val="22"/>
          <w:lang w:bidi="ar-SA"/>
        </w:rPr>
      </w:pPr>
      <w:r w:rsidRPr="00691270">
        <w:rPr>
          <w:rFonts w:ascii="CIDFont+F2" w:eastAsia="Calibri" w:hAnsi="CIDFont+F2" w:cs="CIDFont+F2"/>
          <w:b/>
          <w:szCs w:val="22"/>
          <w:lang w:bidi="ar-SA"/>
        </w:rPr>
        <w:t>Recovery</w:t>
      </w:r>
    </w:p>
    <w:p w14:paraId="3C45501B"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The recovery process is a multi-step operation designed to separate the enzyme from the microbial biomass and purify, concentrate, and stabilise the food enzyme. </w:t>
      </w:r>
    </w:p>
    <w:p w14:paraId="4A1EF8DF"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3F13A18B" w14:textId="7E1542EE" w:rsidR="00691270" w:rsidRPr="00691270" w:rsidRDefault="00BD59CB" w:rsidP="00691270">
      <w:pPr>
        <w:ind w:left="567"/>
      </w:pPr>
      <w:r w:rsidRPr="004F0D63">
        <w:rPr>
          <w:noProof/>
          <w:color w:val="CC66FF"/>
          <w:lang w:eastAsia="en-GB" w:bidi="ar-SA"/>
        </w:rPr>
        <w:drawing>
          <wp:inline distT="0" distB="0" distL="0" distR="0" wp14:anchorId="10B59070" wp14:editId="6E1C6411">
            <wp:extent cx="5486400" cy="3200400"/>
            <wp:effectExtent l="76200" t="0" r="9525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691270" w:rsidRPr="00691270">
        <w:tab/>
      </w:r>
      <w:r w:rsidR="00691270" w:rsidRPr="00691270">
        <w:tab/>
      </w:r>
      <w:r w:rsidR="00691270" w:rsidRPr="00691270">
        <w:tab/>
      </w:r>
      <w:r w:rsidR="00691270" w:rsidRPr="00691270">
        <w:tab/>
      </w:r>
      <w:r w:rsidR="00691270" w:rsidRPr="00691270">
        <w:tab/>
      </w:r>
      <w:r w:rsidR="00691270" w:rsidRPr="00691270">
        <w:tab/>
      </w:r>
      <w:r w:rsidR="00691270" w:rsidRPr="00691270">
        <w:tab/>
      </w:r>
      <w:r w:rsidR="00691270" w:rsidRPr="00691270">
        <w:tab/>
      </w:r>
      <w:r w:rsidR="00691270" w:rsidRPr="00691270">
        <w:tab/>
      </w:r>
    </w:p>
    <w:p w14:paraId="6F293346" w14:textId="77777777" w:rsidR="00691270" w:rsidRPr="00691270" w:rsidRDefault="00691270" w:rsidP="00691270">
      <w:pPr>
        <w:ind w:left="567"/>
      </w:pPr>
      <w:r w:rsidRPr="00691270">
        <w:rPr>
          <w:b/>
          <w:i/>
          <w:lang w:eastAsia="en-AU"/>
        </w:rPr>
        <w:t>Figure 1:</w:t>
      </w:r>
      <w:r w:rsidRPr="00691270">
        <w:rPr>
          <w:i/>
          <w:lang w:eastAsia="en-AU"/>
        </w:rPr>
        <w:t xml:space="preserve"> </w:t>
      </w:r>
      <w:r w:rsidRPr="000B5751">
        <w:rPr>
          <w:i/>
          <w:lang w:eastAsia="en-AU"/>
        </w:rPr>
        <w:t>Manufacturing process for glucoamylase preparation</w:t>
      </w:r>
    </w:p>
    <w:p w14:paraId="1AA10635"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495179C6"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The enzyme preparation is manufactured in accordance with current Good Manufacturing Practices (cGMP) and the quality management system used in the manufacturing process complies with ISO 9001:2015.</w:t>
      </w:r>
    </w:p>
    <w:p w14:paraId="55B97705"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4717EFB4" w14:textId="120561EE" w:rsidR="00691270" w:rsidRPr="00691270" w:rsidRDefault="00691270" w:rsidP="00691270">
      <w:pPr>
        <w:rPr>
          <w:lang w:eastAsia="en-AU" w:bidi="ar-SA"/>
        </w:rPr>
      </w:pPr>
      <w:r w:rsidRPr="00691270">
        <w:rPr>
          <w:lang w:eastAsia="en-AU" w:bidi="ar-SA"/>
        </w:rPr>
        <w:t xml:space="preserve">The manufacturing process is such that the production microorganism, </w:t>
      </w:r>
      <w:r w:rsidR="00BD59CB" w:rsidRPr="00691270">
        <w:rPr>
          <w:i/>
          <w:lang w:eastAsia="en-AU" w:bidi="ar-SA"/>
        </w:rPr>
        <w:t>A</w:t>
      </w:r>
      <w:r w:rsidR="00BD59CB">
        <w:rPr>
          <w:i/>
          <w:lang w:eastAsia="en-AU" w:bidi="ar-SA"/>
        </w:rPr>
        <w:t>.</w:t>
      </w:r>
      <w:r w:rsidR="00BD59CB" w:rsidRPr="00691270">
        <w:rPr>
          <w:i/>
          <w:lang w:eastAsia="en-AU" w:bidi="ar-SA"/>
        </w:rPr>
        <w:t xml:space="preserve"> </w:t>
      </w:r>
      <w:r w:rsidRPr="00691270">
        <w:rPr>
          <w:i/>
          <w:lang w:eastAsia="en-AU" w:bidi="ar-SA"/>
        </w:rPr>
        <w:t>niger</w:t>
      </w:r>
      <w:r w:rsidRPr="00691270">
        <w:rPr>
          <w:lang w:eastAsia="en-AU" w:bidi="ar-SA"/>
        </w:rPr>
        <w:t>, is removed during processing and so is absent from the commercial enzyme preparation.</w:t>
      </w:r>
    </w:p>
    <w:p w14:paraId="7C53B403"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322DDF50" w14:textId="7060DE0D"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The enzyme is standardised to ensure consistent enzyme activity and produced as a liquid enzyme preparation with water as the diluent and carrier. The enzyme preparation contains 42% enzyme (as T</w:t>
      </w:r>
      <w:r w:rsidR="00BD59CB">
        <w:rPr>
          <w:rFonts w:ascii="CIDFont+F1" w:eastAsia="Calibri" w:hAnsi="CIDFont+F1" w:cs="CIDFont+F1"/>
          <w:szCs w:val="22"/>
          <w:lang w:bidi="ar-SA"/>
        </w:rPr>
        <w:t xml:space="preserve">otal </w:t>
      </w:r>
      <w:r w:rsidRPr="00691270">
        <w:rPr>
          <w:rFonts w:ascii="CIDFont+F1" w:eastAsia="Calibri" w:hAnsi="CIDFont+F1" w:cs="CIDFont+F1"/>
          <w:szCs w:val="22"/>
          <w:lang w:bidi="ar-SA"/>
        </w:rPr>
        <w:t>O</w:t>
      </w:r>
      <w:r w:rsidR="00BD59CB">
        <w:rPr>
          <w:rFonts w:ascii="CIDFont+F1" w:eastAsia="Calibri" w:hAnsi="CIDFont+F1" w:cs="CIDFont+F1"/>
          <w:szCs w:val="22"/>
          <w:lang w:bidi="ar-SA"/>
        </w:rPr>
        <w:t xml:space="preserve">rganic </w:t>
      </w:r>
      <w:r w:rsidRPr="00691270">
        <w:rPr>
          <w:rFonts w:ascii="CIDFont+F1" w:eastAsia="Calibri" w:hAnsi="CIDFont+F1" w:cs="CIDFont+F1"/>
          <w:szCs w:val="22"/>
          <w:lang w:bidi="ar-SA"/>
        </w:rPr>
        <w:t>S</w:t>
      </w:r>
      <w:r w:rsidR="00BD59CB">
        <w:rPr>
          <w:rFonts w:ascii="CIDFont+F1" w:eastAsia="Calibri" w:hAnsi="CIDFont+F1" w:cs="CIDFont+F1"/>
          <w:szCs w:val="22"/>
          <w:lang w:bidi="ar-SA"/>
        </w:rPr>
        <w:t>olids</w:t>
      </w:r>
      <w:r w:rsidR="00BB0443">
        <w:rPr>
          <w:rFonts w:ascii="CIDFont+F1" w:eastAsia="Calibri" w:hAnsi="CIDFont+F1" w:cs="CIDFont+F1"/>
          <w:szCs w:val="22"/>
          <w:lang w:bidi="ar-SA"/>
        </w:rPr>
        <w:t xml:space="preserve"> </w:t>
      </w:r>
      <w:r w:rsidR="00BD59CB">
        <w:rPr>
          <w:rFonts w:ascii="CIDFont+F1" w:eastAsia="Calibri" w:hAnsi="CIDFont+F1" w:cs="CIDFont+F1"/>
          <w:szCs w:val="22"/>
          <w:lang w:bidi="ar-SA"/>
        </w:rPr>
        <w:t>(TOS)</w:t>
      </w:r>
      <w:r w:rsidRPr="00691270">
        <w:rPr>
          <w:rFonts w:ascii="CIDFont+F1" w:eastAsia="Calibri" w:hAnsi="CIDFont+F1" w:cs="CIDFont+F1"/>
          <w:szCs w:val="22"/>
          <w:lang w:bidi="ar-SA"/>
        </w:rPr>
        <w:t>), 1.0% of sucrose/glucose as stabilisers, sorbate and benzoate as preservatives and 57% water.</w:t>
      </w:r>
    </w:p>
    <w:p w14:paraId="0D830194" w14:textId="042CE3A5" w:rsidR="001E6A7B" w:rsidRDefault="001E6A7B" w:rsidP="00BD59CB">
      <w:pPr>
        <w:pStyle w:val="Heading3"/>
      </w:pPr>
      <w:bookmarkStart w:id="17" w:name="_Toc5629729"/>
      <w:r>
        <w:lastRenderedPageBreak/>
        <w:t>2.2.2</w:t>
      </w:r>
      <w:r w:rsidR="0035149D">
        <w:tab/>
      </w:r>
      <w:r>
        <w:t>Specifications</w:t>
      </w:r>
      <w:bookmarkEnd w:id="17"/>
    </w:p>
    <w:p w14:paraId="161CB1EA" w14:textId="715CCEA3"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There are international specifications for enzyme preparations used in food production. These have been established by the Joint FAO/WHO Expert Committ</w:t>
      </w:r>
      <w:r w:rsidR="00BB0443">
        <w:rPr>
          <w:rFonts w:ascii="CIDFont+F1" w:eastAsia="Calibri" w:hAnsi="CIDFont+F1" w:cs="CIDFont+F1"/>
          <w:szCs w:val="22"/>
          <w:lang w:bidi="ar-SA"/>
        </w:rPr>
        <w:t>ee on Food Additives (JECFA, 2017</w:t>
      </w:r>
      <w:r w:rsidRPr="00691270">
        <w:rPr>
          <w:rFonts w:ascii="CIDFont+F1" w:eastAsia="Calibri" w:hAnsi="CIDFont+F1" w:cs="CIDFont+F1"/>
          <w:szCs w:val="22"/>
          <w:lang w:bidi="ar-SA"/>
        </w:rPr>
        <w:t>) and the Food Chemicals Codex (FCC) (USP, 201</w:t>
      </w:r>
      <w:r w:rsidR="00BB0443">
        <w:rPr>
          <w:rFonts w:ascii="CIDFont+F1" w:eastAsia="Calibri" w:hAnsi="CIDFont+F1" w:cs="CIDFont+F1"/>
          <w:szCs w:val="22"/>
          <w:lang w:bidi="ar-SA"/>
        </w:rPr>
        <w:t>8</w:t>
      </w:r>
      <w:r w:rsidRPr="00691270">
        <w:rPr>
          <w:rFonts w:ascii="CIDFont+F1" w:eastAsia="Calibri" w:hAnsi="CIDFont+F1" w:cs="CIDFont+F1"/>
          <w:szCs w:val="22"/>
          <w:lang w:bidi="ar-SA"/>
        </w:rPr>
        <w:t>). Both of these specification sources are primary sources listed in section S3—2 of the Code. Enzyme preparations must meet these specifications.</w:t>
      </w:r>
    </w:p>
    <w:p w14:paraId="65E21886"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2DD3C790" w14:textId="639DF5C9"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Table 2 provides a comparison of representative batch analysis of the glucoamylase enzyme preparation with the international specifications established by JECFA and Food Chemicals Codex, as well as those detailed in the Code (</w:t>
      </w:r>
      <w:r w:rsidR="00BF4C28">
        <w:rPr>
          <w:rFonts w:ascii="CIDFont+F1" w:eastAsia="Calibri" w:hAnsi="CIDFont+F1" w:cs="CIDFont+F1"/>
          <w:szCs w:val="22"/>
          <w:lang w:bidi="ar-SA"/>
        </w:rPr>
        <w:t xml:space="preserve">being section S3—4, </w:t>
      </w:r>
      <w:r w:rsidRPr="00691270">
        <w:rPr>
          <w:rFonts w:ascii="CIDFont+F1" w:eastAsia="Calibri" w:hAnsi="CIDFont+F1" w:cs="CIDFont+F1"/>
          <w:szCs w:val="22"/>
          <w:lang w:bidi="ar-SA"/>
        </w:rPr>
        <w:t>as applicable).</w:t>
      </w:r>
    </w:p>
    <w:p w14:paraId="309BB4F5"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6079E615" w14:textId="66C598BF" w:rsidR="00691270" w:rsidRDefault="00691270" w:rsidP="00261BCA">
      <w:pPr>
        <w:keepNext/>
        <w:keepLines/>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b/>
          <w:i/>
          <w:szCs w:val="22"/>
          <w:lang w:bidi="ar-SA"/>
        </w:rPr>
        <w:t>Table 2:</w:t>
      </w:r>
      <w:r w:rsidRPr="00691270">
        <w:rPr>
          <w:rFonts w:ascii="CIDFont+F1" w:eastAsia="Calibri" w:hAnsi="CIDFont+F1" w:cs="CIDFont+F1"/>
          <w:szCs w:val="22"/>
          <w:lang w:bidi="ar-SA"/>
        </w:rPr>
        <w:t xml:space="preserve"> </w:t>
      </w:r>
      <w:r w:rsidRPr="000B5751">
        <w:rPr>
          <w:rFonts w:ascii="CIDFont+F1" w:eastAsia="Calibri" w:hAnsi="CIDFont+F1" w:cs="CIDFont+F1"/>
          <w:i/>
          <w:szCs w:val="22"/>
          <w:lang w:bidi="ar-SA"/>
        </w:rPr>
        <w:t>Product specifications for commercial enzyme preparation</w:t>
      </w:r>
    </w:p>
    <w:p w14:paraId="4581D3B1" w14:textId="77777777" w:rsidR="00BD59CB" w:rsidRPr="00691270" w:rsidRDefault="00BD59CB" w:rsidP="00261BCA">
      <w:pPr>
        <w:keepNext/>
        <w:keepLines/>
        <w:widowControl/>
        <w:autoSpaceDE w:val="0"/>
        <w:autoSpaceDN w:val="0"/>
        <w:adjustRightInd w:val="0"/>
        <w:rPr>
          <w:rFonts w:ascii="CIDFont+F1" w:eastAsia="Calibri" w:hAnsi="CIDFont+F1" w:cs="CIDFont+F1"/>
          <w:szCs w:val="22"/>
          <w:lang w:bidi="ar-SA"/>
        </w:rPr>
      </w:pPr>
    </w:p>
    <w:tbl>
      <w:tblPr>
        <w:tblStyle w:val="TableGrid2"/>
        <w:tblW w:w="0" w:type="auto"/>
        <w:jc w:val="center"/>
        <w:tblLook w:val="04A0" w:firstRow="1" w:lastRow="0" w:firstColumn="1" w:lastColumn="0" w:noHBand="0" w:noVBand="1"/>
        <w:tblDescription w:val="Enzyme specifications comparision to JECFA, Food Chemicals Codex and relevant Code criteria: lead, arsenic, cadmium, mercury, total coliforms, salmonella, enteropathic E. coli, antimicrobial activity"/>
      </w:tblPr>
      <w:tblGrid>
        <w:gridCol w:w="2215"/>
        <w:gridCol w:w="1891"/>
        <w:gridCol w:w="1688"/>
        <w:gridCol w:w="1633"/>
        <w:gridCol w:w="1633"/>
      </w:tblGrid>
      <w:tr w:rsidR="00691270" w:rsidRPr="00691270" w14:paraId="22A25F5A" w14:textId="77777777" w:rsidTr="00551114">
        <w:trPr>
          <w:jc w:val="center"/>
        </w:trPr>
        <w:tc>
          <w:tcPr>
            <w:tcW w:w="2215" w:type="dxa"/>
            <w:vMerge w:val="restart"/>
            <w:vAlign w:val="center"/>
          </w:tcPr>
          <w:p w14:paraId="3F7C8D9E" w14:textId="77777777" w:rsidR="00691270" w:rsidRPr="00691270" w:rsidRDefault="00691270" w:rsidP="00261BCA">
            <w:pPr>
              <w:keepNext/>
              <w:keepLines/>
              <w:widowControl/>
              <w:autoSpaceDE w:val="0"/>
              <w:autoSpaceDN w:val="0"/>
              <w:adjustRightInd w:val="0"/>
              <w:jc w:val="center"/>
              <w:rPr>
                <w:rFonts w:ascii="CIDFont+F1" w:hAnsi="CIDFont+F1" w:cs="CIDFont+F3"/>
                <w:b/>
                <w:szCs w:val="22"/>
                <w:lang w:bidi="ar-SA"/>
              </w:rPr>
            </w:pPr>
            <w:r w:rsidRPr="00691270">
              <w:rPr>
                <w:rFonts w:ascii="CIDFont+F1" w:hAnsi="CIDFont+F1" w:cs="CIDFont+F3"/>
                <w:b/>
                <w:szCs w:val="22"/>
                <w:lang w:bidi="ar-SA"/>
              </w:rPr>
              <w:t>Analysis</w:t>
            </w:r>
          </w:p>
        </w:tc>
        <w:tc>
          <w:tcPr>
            <w:tcW w:w="1891" w:type="dxa"/>
            <w:vMerge w:val="restart"/>
            <w:vAlign w:val="center"/>
          </w:tcPr>
          <w:p w14:paraId="2851C602" w14:textId="77777777" w:rsidR="00691270" w:rsidRPr="00691270" w:rsidRDefault="00691270" w:rsidP="00261BCA">
            <w:pPr>
              <w:keepNext/>
              <w:keepLines/>
              <w:widowControl/>
              <w:autoSpaceDE w:val="0"/>
              <w:autoSpaceDN w:val="0"/>
              <w:adjustRightInd w:val="0"/>
              <w:jc w:val="center"/>
              <w:rPr>
                <w:rFonts w:ascii="CIDFont+F1" w:hAnsi="CIDFont+F1" w:cs="CIDFont+F3"/>
                <w:b/>
                <w:szCs w:val="22"/>
                <w:lang w:bidi="ar-SA"/>
              </w:rPr>
            </w:pPr>
            <w:r w:rsidRPr="00691270">
              <w:rPr>
                <w:rFonts w:ascii="CIDFont+F1" w:hAnsi="CIDFont+F1" w:cs="CIDFont+F3"/>
                <w:b/>
                <w:szCs w:val="22"/>
                <w:lang w:bidi="ar-SA"/>
              </w:rPr>
              <w:t>Enzyme batch analysis</w:t>
            </w:r>
          </w:p>
        </w:tc>
        <w:tc>
          <w:tcPr>
            <w:tcW w:w="4954" w:type="dxa"/>
            <w:gridSpan w:val="3"/>
            <w:vAlign w:val="center"/>
          </w:tcPr>
          <w:p w14:paraId="64260BDF" w14:textId="77777777" w:rsidR="00691270" w:rsidRPr="00691270" w:rsidRDefault="00691270" w:rsidP="00261BCA">
            <w:pPr>
              <w:keepNext/>
              <w:keepLines/>
              <w:widowControl/>
              <w:jc w:val="center"/>
              <w:rPr>
                <w:rFonts w:ascii="CIDFont+F1" w:hAnsi="CIDFont+F1"/>
                <w:b/>
                <w:szCs w:val="22"/>
              </w:rPr>
            </w:pPr>
            <w:r w:rsidRPr="00691270">
              <w:rPr>
                <w:rFonts w:ascii="CIDFont+F1" w:hAnsi="CIDFont+F1"/>
                <w:b/>
                <w:szCs w:val="22"/>
              </w:rPr>
              <w:t>Specifications</w:t>
            </w:r>
          </w:p>
        </w:tc>
      </w:tr>
      <w:tr w:rsidR="00691270" w:rsidRPr="00691270" w14:paraId="4FCE4138" w14:textId="77777777" w:rsidTr="00551114">
        <w:trPr>
          <w:jc w:val="center"/>
        </w:trPr>
        <w:tc>
          <w:tcPr>
            <w:tcW w:w="2215" w:type="dxa"/>
            <w:vMerge/>
            <w:vAlign w:val="center"/>
          </w:tcPr>
          <w:p w14:paraId="4A30C467" w14:textId="77777777" w:rsidR="00691270" w:rsidRPr="00691270" w:rsidRDefault="00691270" w:rsidP="00261BCA">
            <w:pPr>
              <w:keepNext/>
              <w:keepLines/>
              <w:widowControl/>
              <w:autoSpaceDE w:val="0"/>
              <w:autoSpaceDN w:val="0"/>
              <w:adjustRightInd w:val="0"/>
              <w:jc w:val="center"/>
              <w:rPr>
                <w:rFonts w:ascii="CIDFont+F1" w:hAnsi="CIDFont+F1" w:cs="CIDFont+F1"/>
                <w:b/>
                <w:szCs w:val="22"/>
                <w:lang w:bidi="ar-SA"/>
              </w:rPr>
            </w:pPr>
          </w:p>
        </w:tc>
        <w:tc>
          <w:tcPr>
            <w:tcW w:w="1891" w:type="dxa"/>
            <w:vMerge/>
            <w:vAlign w:val="center"/>
          </w:tcPr>
          <w:p w14:paraId="4BEB92E9" w14:textId="77777777" w:rsidR="00691270" w:rsidRPr="00691270" w:rsidRDefault="00691270" w:rsidP="00261BCA">
            <w:pPr>
              <w:keepNext/>
              <w:keepLines/>
              <w:widowControl/>
              <w:autoSpaceDE w:val="0"/>
              <w:autoSpaceDN w:val="0"/>
              <w:adjustRightInd w:val="0"/>
              <w:jc w:val="center"/>
              <w:rPr>
                <w:rFonts w:ascii="CIDFont+F1" w:hAnsi="CIDFont+F1" w:cs="CIDFont+F1"/>
                <w:b/>
                <w:szCs w:val="22"/>
                <w:lang w:bidi="ar-SA"/>
              </w:rPr>
            </w:pPr>
          </w:p>
        </w:tc>
        <w:tc>
          <w:tcPr>
            <w:tcW w:w="1688" w:type="dxa"/>
            <w:vAlign w:val="center"/>
          </w:tcPr>
          <w:p w14:paraId="276FD946" w14:textId="77777777" w:rsidR="00691270" w:rsidRPr="00691270" w:rsidRDefault="00691270" w:rsidP="00261BCA">
            <w:pPr>
              <w:keepNext/>
              <w:keepLines/>
              <w:widowControl/>
              <w:autoSpaceDE w:val="0"/>
              <w:autoSpaceDN w:val="0"/>
              <w:adjustRightInd w:val="0"/>
              <w:jc w:val="center"/>
              <w:rPr>
                <w:rFonts w:ascii="CIDFont+F1" w:hAnsi="CIDFont+F1" w:cs="CIDFont+F1"/>
                <w:b/>
                <w:szCs w:val="22"/>
                <w:lang w:bidi="ar-SA"/>
              </w:rPr>
            </w:pPr>
            <w:r w:rsidRPr="00691270">
              <w:rPr>
                <w:rFonts w:ascii="CIDFont+F1" w:hAnsi="CIDFont+F1" w:cs="CIDFont+F3"/>
                <w:b/>
                <w:szCs w:val="22"/>
                <w:lang w:bidi="ar-SA"/>
              </w:rPr>
              <w:t>JECFA</w:t>
            </w:r>
          </w:p>
        </w:tc>
        <w:tc>
          <w:tcPr>
            <w:tcW w:w="1633" w:type="dxa"/>
            <w:vAlign w:val="center"/>
          </w:tcPr>
          <w:p w14:paraId="08EF2A19" w14:textId="77777777" w:rsidR="00691270" w:rsidRPr="00691270" w:rsidRDefault="00691270" w:rsidP="00261BCA">
            <w:pPr>
              <w:keepNext/>
              <w:keepLines/>
              <w:widowControl/>
              <w:autoSpaceDE w:val="0"/>
              <w:autoSpaceDN w:val="0"/>
              <w:adjustRightInd w:val="0"/>
              <w:jc w:val="center"/>
              <w:rPr>
                <w:rFonts w:ascii="CIDFont+F1" w:hAnsi="CIDFont+F1" w:cs="CIDFont+F3"/>
                <w:b/>
                <w:szCs w:val="22"/>
                <w:lang w:bidi="ar-SA"/>
              </w:rPr>
            </w:pPr>
            <w:r w:rsidRPr="00691270">
              <w:rPr>
                <w:rFonts w:ascii="CIDFont+F1" w:hAnsi="CIDFont+F1" w:cs="CIDFont+F3"/>
                <w:b/>
                <w:szCs w:val="22"/>
                <w:lang w:bidi="ar-SA"/>
              </w:rPr>
              <w:t>Food Chemicals Codex</w:t>
            </w:r>
          </w:p>
        </w:tc>
        <w:tc>
          <w:tcPr>
            <w:tcW w:w="1633" w:type="dxa"/>
            <w:vAlign w:val="center"/>
          </w:tcPr>
          <w:p w14:paraId="5A2EC87D" w14:textId="77777777" w:rsidR="00691270" w:rsidRPr="00691270" w:rsidRDefault="00691270" w:rsidP="00261BCA">
            <w:pPr>
              <w:keepNext/>
              <w:keepLines/>
              <w:widowControl/>
              <w:autoSpaceDE w:val="0"/>
              <w:autoSpaceDN w:val="0"/>
              <w:adjustRightInd w:val="0"/>
              <w:jc w:val="center"/>
              <w:rPr>
                <w:rFonts w:ascii="CIDFont+F1" w:hAnsi="CIDFont+F1" w:cs="CIDFont+F1"/>
                <w:szCs w:val="22"/>
                <w:lang w:bidi="ar-SA"/>
              </w:rPr>
            </w:pPr>
            <w:r w:rsidRPr="00691270">
              <w:rPr>
                <w:rFonts w:ascii="CIDFont+F1" w:hAnsi="CIDFont+F1"/>
                <w:b/>
                <w:szCs w:val="22"/>
              </w:rPr>
              <w:t>the Code</w:t>
            </w:r>
          </w:p>
        </w:tc>
      </w:tr>
      <w:tr w:rsidR="00691270" w:rsidRPr="00691270" w14:paraId="5646CBAE" w14:textId="77777777" w:rsidTr="00551114">
        <w:trPr>
          <w:jc w:val="center"/>
        </w:trPr>
        <w:tc>
          <w:tcPr>
            <w:tcW w:w="2215" w:type="dxa"/>
          </w:tcPr>
          <w:p w14:paraId="36A8EB12" w14:textId="307811FB" w:rsidR="00691270" w:rsidRPr="00691270" w:rsidRDefault="00BA159A" w:rsidP="00261BCA">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 xml:space="preserve">Lead </w:t>
            </w:r>
            <w:r w:rsidR="00691270" w:rsidRPr="00691270">
              <w:rPr>
                <w:rFonts w:ascii="CIDFont+F1" w:hAnsi="CIDFont+F1" w:cs="CIDFont+F1"/>
                <w:szCs w:val="22"/>
                <w:lang w:bidi="ar-SA"/>
              </w:rPr>
              <w:t>(mg/kg)</w:t>
            </w:r>
          </w:p>
        </w:tc>
        <w:tc>
          <w:tcPr>
            <w:tcW w:w="1891" w:type="dxa"/>
          </w:tcPr>
          <w:p w14:paraId="094ED055"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ND</w:t>
            </w:r>
            <w:r w:rsidRPr="00691270">
              <w:rPr>
                <w:rFonts w:ascii="CIDFont+F1" w:hAnsi="CIDFont+F1" w:cs="CIDFont+F1"/>
                <w:szCs w:val="22"/>
                <w:vertAlign w:val="superscript"/>
                <w:lang w:bidi="ar-SA"/>
              </w:rPr>
              <w:t xml:space="preserve">a </w:t>
            </w:r>
            <w:r w:rsidRPr="00691270">
              <w:rPr>
                <w:rFonts w:ascii="CIDFont+F1" w:hAnsi="CIDFont+F1" w:cs="CIDFont+F1"/>
                <w:szCs w:val="22"/>
                <w:lang w:bidi="ar-SA"/>
              </w:rPr>
              <w:t>(DL&lt;0.5)</w:t>
            </w:r>
            <w:r w:rsidRPr="00691270">
              <w:rPr>
                <w:rFonts w:ascii="CIDFont+F1" w:hAnsi="CIDFont+F1" w:cs="CIDFont+F1"/>
                <w:szCs w:val="22"/>
                <w:vertAlign w:val="superscript"/>
                <w:lang w:bidi="ar-SA"/>
              </w:rPr>
              <w:t>b</w:t>
            </w:r>
          </w:p>
        </w:tc>
        <w:tc>
          <w:tcPr>
            <w:tcW w:w="1688" w:type="dxa"/>
          </w:tcPr>
          <w:p w14:paraId="2F9B0899"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 5</w:t>
            </w:r>
          </w:p>
        </w:tc>
        <w:tc>
          <w:tcPr>
            <w:tcW w:w="1633" w:type="dxa"/>
          </w:tcPr>
          <w:p w14:paraId="69A5A681"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 5</w:t>
            </w:r>
          </w:p>
        </w:tc>
        <w:tc>
          <w:tcPr>
            <w:tcW w:w="1633" w:type="dxa"/>
          </w:tcPr>
          <w:p w14:paraId="12F1834D"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≤2</w:t>
            </w:r>
          </w:p>
        </w:tc>
      </w:tr>
      <w:tr w:rsidR="00691270" w:rsidRPr="00691270" w14:paraId="689E6567" w14:textId="77777777" w:rsidTr="00551114">
        <w:trPr>
          <w:jc w:val="center"/>
        </w:trPr>
        <w:tc>
          <w:tcPr>
            <w:tcW w:w="2215" w:type="dxa"/>
          </w:tcPr>
          <w:p w14:paraId="7500C094" w14:textId="525315A4" w:rsidR="00691270" w:rsidRPr="00691270" w:rsidRDefault="00BA159A" w:rsidP="00261BCA">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Arsenic</w:t>
            </w:r>
            <w:r w:rsidR="00691270" w:rsidRPr="00691270">
              <w:rPr>
                <w:rFonts w:ascii="CIDFont+F1" w:hAnsi="CIDFont+F1" w:cs="CIDFont+F1"/>
                <w:szCs w:val="22"/>
                <w:lang w:bidi="ar-SA"/>
              </w:rPr>
              <w:t xml:space="preserve"> (mg/kg)</w:t>
            </w:r>
          </w:p>
        </w:tc>
        <w:tc>
          <w:tcPr>
            <w:tcW w:w="1891" w:type="dxa"/>
          </w:tcPr>
          <w:p w14:paraId="38E8DCF6"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0.103 (DL &lt; 0.1)</w:t>
            </w:r>
          </w:p>
        </w:tc>
        <w:tc>
          <w:tcPr>
            <w:tcW w:w="1688" w:type="dxa"/>
          </w:tcPr>
          <w:p w14:paraId="5871921F"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c>
          <w:tcPr>
            <w:tcW w:w="1633" w:type="dxa"/>
          </w:tcPr>
          <w:p w14:paraId="17FF976A"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c>
          <w:tcPr>
            <w:tcW w:w="1633" w:type="dxa"/>
          </w:tcPr>
          <w:p w14:paraId="4360836B"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≤1</w:t>
            </w:r>
          </w:p>
        </w:tc>
      </w:tr>
      <w:tr w:rsidR="00691270" w:rsidRPr="00691270" w14:paraId="1EC7612A" w14:textId="77777777" w:rsidTr="00551114">
        <w:trPr>
          <w:jc w:val="center"/>
        </w:trPr>
        <w:tc>
          <w:tcPr>
            <w:tcW w:w="2215" w:type="dxa"/>
          </w:tcPr>
          <w:p w14:paraId="1FA50FD7" w14:textId="36E0C931" w:rsidR="00691270" w:rsidRPr="00691270" w:rsidRDefault="00BA159A" w:rsidP="00261BCA">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Cadmium</w:t>
            </w:r>
            <w:r w:rsidR="00691270" w:rsidRPr="00691270">
              <w:rPr>
                <w:rFonts w:ascii="CIDFont+F1" w:hAnsi="CIDFont+F1" w:cs="CIDFont+F1"/>
                <w:szCs w:val="22"/>
                <w:lang w:bidi="ar-SA"/>
              </w:rPr>
              <w:t xml:space="preserve"> (mg/kg)</w:t>
            </w:r>
          </w:p>
        </w:tc>
        <w:tc>
          <w:tcPr>
            <w:tcW w:w="1891" w:type="dxa"/>
          </w:tcPr>
          <w:p w14:paraId="1A5D6268"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ND (DL &lt; 0.05)</w:t>
            </w:r>
          </w:p>
        </w:tc>
        <w:tc>
          <w:tcPr>
            <w:tcW w:w="1688" w:type="dxa"/>
          </w:tcPr>
          <w:p w14:paraId="0B94E535"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c>
          <w:tcPr>
            <w:tcW w:w="1633" w:type="dxa"/>
          </w:tcPr>
          <w:p w14:paraId="6A29E949"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c>
          <w:tcPr>
            <w:tcW w:w="1633" w:type="dxa"/>
          </w:tcPr>
          <w:p w14:paraId="64E776D9"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≤1</w:t>
            </w:r>
          </w:p>
        </w:tc>
      </w:tr>
      <w:tr w:rsidR="00691270" w:rsidRPr="00691270" w14:paraId="4A91276F" w14:textId="77777777" w:rsidTr="00551114">
        <w:trPr>
          <w:jc w:val="center"/>
        </w:trPr>
        <w:tc>
          <w:tcPr>
            <w:tcW w:w="2215" w:type="dxa"/>
          </w:tcPr>
          <w:p w14:paraId="61E7452C" w14:textId="226C1FFF" w:rsidR="00691270" w:rsidRPr="00691270" w:rsidRDefault="00BA159A" w:rsidP="00261BCA">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Mercury</w:t>
            </w:r>
            <w:r w:rsidR="00691270" w:rsidRPr="00691270">
              <w:rPr>
                <w:rFonts w:ascii="CIDFont+F1" w:hAnsi="CIDFont+F1" w:cs="CIDFont+F1"/>
                <w:szCs w:val="22"/>
                <w:lang w:bidi="ar-SA"/>
              </w:rPr>
              <w:t xml:space="preserve"> (mg/kg)</w:t>
            </w:r>
          </w:p>
        </w:tc>
        <w:tc>
          <w:tcPr>
            <w:tcW w:w="1891" w:type="dxa"/>
          </w:tcPr>
          <w:p w14:paraId="00559CAE"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ND (DL &lt; 0.03)</w:t>
            </w:r>
          </w:p>
        </w:tc>
        <w:tc>
          <w:tcPr>
            <w:tcW w:w="1688" w:type="dxa"/>
          </w:tcPr>
          <w:p w14:paraId="6F685DB4"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c>
          <w:tcPr>
            <w:tcW w:w="1633" w:type="dxa"/>
          </w:tcPr>
          <w:p w14:paraId="11DFBFD3"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c>
          <w:tcPr>
            <w:tcW w:w="1633" w:type="dxa"/>
          </w:tcPr>
          <w:p w14:paraId="4FCEC610"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≤1</w:t>
            </w:r>
          </w:p>
        </w:tc>
      </w:tr>
      <w:tr w:rsidR="00691270" w:rsidRPr="00691270" w14:paraId="4D20E0CF" w14:textId="77777777" w:rsidTr="00551114">
        <w:trPr>
          <w:jc w:val="center"/>
        </w:trPr>
        <w:tc>
          <w:tcPr>
            <w:tcW w:w="2215" w:type="dxa"/>
          </w:tcPr>
          <w:p w14:paraId="3DA29C13"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Total coliforms (cfu/g)</w:t>
            </w:r>
          </w:p>
        </w:tc>
        <w:tc>
          <w:tcPr>
            <w:tcW w:w="1891" w:type="dxa"/>
          </w:tcPr>
          <w:p w14:paraId="224A5B12"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10</w:t>
            </w:r>
          </w:p>
        </w:tc>
        <w:tc>
          <w:tcPr>
            <w:tcW w:w="1688" w:type="dxa"/>
          </w:tcPr>
          <w:p w14:paraId="19949709"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 xml:space="preserve">≤30 </w:t>
            </w:r>
          </w:p>
        </w:tc>
        <w:tc>
          <w:tcPr>
            <w:tcW w:w="1633" w:type="dxa"/>
          </w:tcPr>
          <w:p w14:paraId="7472F168"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≤30</w:t>
            </w:r>
          </w:p>
        </w:tc>
        <w:tc>
          <w:tcPr>
            <w:tcW w:w="1633" w:type="dxa"/>
          </w:tcPr>
          <w:p w14:paraId="78A42B5F"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r>
      <w:tr w:rsidR="00691270" w:rsidRPr="00691270" w14:paraId="1F2E7774" w14:textId="77777777" w:rsidTr="00551114">
        <w:trPr>
          <w:jc w:val="center"/>
        </w:trPr>
        <w:tc>
          <w:tcPr>
            <w:tcW w:w="2215" w:type="dxa"/>
          </w:tcPr>
          <w:p w14:paraId="015D4470"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Salmonella (in 25 g)</w:t>
            </w:r>
          </w:p>
        </w:tc>
        <w:tc>
          <w:tcPr>
            <w:tcW w:w="1891" w:type="dxa"/>
          </w:tcPr>
          <w:p w14:paraId="72172AFE"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ND</w:t>
            </w:r>
          </w:p>
        </w:tc>
        <w:tc>
          <w:tcPr>
            <w:tcW w:w="1688" w:type="dxa"/>
          </w:tcPr>
          <w:p w14:paraId="7DD935DA"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Absent</w:t>
            </w:r>
          </w:p>
        </w:tc>
        <w:tc>
          <w:tcPr>
            <w:tcW w:w="1633" w:type="dxa"/>
          </w:tcPr>
          <w:p w14:paraId="10F3E103"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Negative</w:t>
            </w:r>
          </w:p>
        </w:tc>
        <w:tc>
          <w:tcPr>
            <w:tcW w:w="1633" w:type="dxa"/>
          </w:tcPr>
          <w:p w14:paraId="770BEA75"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r>
      <w:tr w:rsidR="00691270" w:rsidRPr="00691270" w14:paraId="4358ABEE" w14:textId="77777777" w:rsidTr="00551114">
        <w:trPr>
          <w:jc w:val="center"/>
        </w:trPr>
        <w:tc>
          <w:tcPr>
            <w:tcW w:w="2215" w:type="dxa"/>
          </w:tcPr>
          <w:p w14:paraId="54A954D0"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 xml:space="preserve">Enteropathic </w:t>
            </w:r>
            <w:r w:rsidRPr="00691270">
              <w:rPr>
                <w:rFonts w:ascii="CIDFont+F1" w:hAnsi="CIDFont+F1" w:cs="CIDFont+F1"/>
                <w:i/>
                <w:szCs w:val="22"/>
                <w:lang w:bidi="ar-SA"/>
              </w:rPr>
              <w:t>E. coli</w:t>
            </w:r>
            <w:r w:rsidRPr="00691270">
              <w:rPr>
                <w:rFonts w:ascii="CIDFont+F1" w:hAnsi="CIDFont+F1" w:cs="CIDFont+F1"/>
                <w:szCs w:val="22"/>
                <w:lang w:bidi="ar-SA"/>
              </w:rPr>
              <w:t xml:space="preserve"> (in 25 g)</w:t>
            </w:r>
          </w:p>
        </w:tc>
        <w:tc>
          <w:tcPr>
            <w:tcW w:w="1891" w:type="dxa"/>
          </w:tcPr>
          <w:p w14:paraId="7F2787D3"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ND</w:t>
            </w:r>
          </w:p>
        </w:tc>
        <w:tc>
          <w:tcPr>
            <w:tcW w:w="1688" w:type="dxa"/>
          </w:tcPr>
          <w:p w14:paraId="2A92A8CF"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 xml:space="preserve">Absent </w:t>
            </w:r>
          </w:p>
        </w:tc>
        <w:tc>
          <w:tcPr>
            <w:tcW w:w="1633" w:type="dxa"/>
          </w:tcPr>
          <w:p w14:paraId="5762CA1D"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c>
          <w:tcPr>
            <w:tcW w:w="1633" w:type="dxa"/>
          </w:tcPr>
          <w:p w14:paraId="03F0AE3A"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r>
      <w:tr w:rsidR="00691270" w:rsidRPr="00691270" w14:paraId="229603E7" w14:textId="77777777" w:rsidTr="00551114">
        <w:trPr>
          <w:jc w:val="center"/>
        </w:trPr>
        <w:tc>
          <w:tcPr>
            <w:tcW w:w="2215" w:type="dxa"/>
          </w:tcPr>
          <w:p w14:paraId="3BC8A087"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 xml:space="preserve">Antimicrobial activity </w:t>
            </w:r>
          </w:p>
        </w:tc>
        <w:tc>
          <w:tcPr>
            <w:tcW w:w="1891" w:type="dxa"/>
          </w:tcPr>
          <w:p w14:paraId="1AC3376F"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ND</w:t>
            </w:r>
          </w:p>
        </w:tc>
        <w:tc>
          <w:tcPr>
            <w:tcW w:w="1688" w:type="dxa"/>
          </w:tcPr>
          <w:p w14:paraId="4E324F60"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Absent</w:t>
            </w:r>
          </w:p>
        </w:tc>
        <w:tc>
          <w:tcPr>
            <w:tcW w:w="1633" w:type="dxa"/>
          </w:tcPr>
          <w:p w14:paraId="7B1BFC99"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c>
          <w:tcPr>
            <w:tcW w:w="1633" w:type="dxa"/>
          </w:tcPr>
          <w:p w14:paraId="7BB67AE8"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r>
    </w:tbl>
    <w:p w14:paraId="702084DD" w14:textId="77777777" w:rsidR="00691270" w:rsidRPr="00691270" w:rsidRDefault="00691270" w:rsidP="00261BCA">
      <w:pPr>
        <w:keepNext/>
        <w:keepLines/>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ab/>
      </w:r>
      <w:r w:rsidRPr="00691270">
        <w:rPr>
          <w:rFonts w:ascii="CIDFont+F1" w:eastAsia="Calibri" w:hAnsi="CIDFont+F1" w:cs="CIDFont+F1"/>
          <w:szCs w:val="22"/>
          <w:vertAlign w:val="superscript"/>
          <w:lang w:bidi="ar-SA"/>
        </w:rPr>
        <w:t xml:space="preserve">a </w:t>
      </w:r>
      <w:r w:rsidRPr="00691270">
        <w:rPr>
          <w:rFonts w:ascii="CIDFont+F1" w:eastAsia="Calibri" w:hAnsi="CIDFont+F1" w:cs="CIDFont+F1"/>
          <w:szCs w:val="22"/>
          <w:lang w:bidi="ar-SA"/>
        </w:rPr>
        <w:t>ND = Not detected</w:t>
      </w:r>
    </w:p>
    <w:p w14:paraId="2A960B39" w14:textId="77777777" w:rsidR="00691270" w:rsidRPr="00691270" w:rsidRDefault="00691270" w:rsidP="00261BCA">
      <w:pPr>
        <w:keepNext/>
        <w:keepLines/>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ab/>
      </w:r>
      <w:r w:rsidRPr="00691270">
        <w:rPr>
          <w:rFonts w:ascii="CIDFont+F1" w:eastAsia="Calibri" w:hAnsi="CIDFont+F1" w:cs="CIDFont+F1"/>
          <w:szCs w:val="22"/>
          <w:vertAlign w:val="superscript"/>
          <w:lang w:bidi="ar-SA"/>
        </w:rPr>
        <w:t xml:space="preserve">b </w:t>
      </w:r>
      <w:r w:rsidRPr="00691270">
        <w:rPr>
          <w:rFonts w:ascii="CIDFont+F1" w:eastAsia="Calibri" w:hAnsi="CIDFont+F1" w:cs="CIDFont+F1"/>
          <w:szCs w:val="22"/>
          <w:lang w:bidi="ar-SA"/>
        </w:rPr>
        <w:t>DL = Detection limit</w:t>
      </w:r>
    </w:p>
    <w:p w14:paraId="593943C6"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04E9FA5F"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The applicant provided additional analyses (total of heavy metals, ochratoxin A and fumonisin B2) for which no international specifications have been established to further demonstrate safety of the enzyme. </w:t>
      </w:r>
    </w:p>
    <w:p w14:paraId="1F36B028"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4925DB47" w14:textId="1010B75D" w:rsidR="00691270" w:rsidRPr="00691270" w:rsidRDefault="00691270" w:rsidP="00691270">
      <w:pPr>
        <w:rPr>
          <w:lang w:eastAsia="en-AU" w:bidi="ar-SA"/>
        </w:rPr>
      </w:pPr>
      <w:r w:rsidRPr="00691270">
        <w:rPr>
          <w:rFonts w:ascii="CIDFont+F1" w:eastAsia="Calibri" w:hAnsi="CIDFont+F1" w:cs="CIDFont+F1"/>
          <w:szCs w:val="22"/>
          <w:lang w:bidi="ar-SA"/>
        </w:rPr>
        <w:t>Based on the above results, the enzyme preparation meets international and Code specifications for enzymes used in the production of food.</w:t>
      </w:r>
    </w:p>
    <w:p w14:paraId="7855AD6F" w14:textId="3AA82EEC" w:rsidR="001E6A7B" w:rsidRDefault="001E6A7B" w:rsidP="00BD59CB">
      <w:pPr>
        <w:pStyle w:val="Heading2"/>
      </w:pPr>
      <w:bookmarkStart w:id="18" w:name="_Toc472327053"/>
      <w:bookmarkStart w:id="19" w:name="_Toc501699827"/>
      <w:bookmarkStart w:id="20" w:name="_Toc5629730"/>
      <w:r>
        <w:t>2.3</w:t>
      </w:r>
      <w:r>
        <w:tab/>
        <w:t>Food technology conclusion</w:t>
      </w:r>
      <w:bookmarkEnd w:id="18"/>
      <w:bookmarkEnd w:id="19"/>
      <w:bookmarkEnd w:id="20"/>
    </w:p>
    <w:p w14:paraId="62BD3AB6" w14:textId="77777777" w:rsidR="00691270" w:rsidRPr="003A01FB" w:rsidRDefault="00691270" w:rsidP="00691270">
      <w:r w:rsidRPr="00222AFC">
        <w:t>FSANZ concludes that the stated purpose of this enzyme preparation; namely, for use as a processing aid in the manufacture</w:t>
      </w:r>
      <w:r>
        <w:t xml:space="preserve"> and processing</w:t>
      </w:r>
      <w:r w:rsidRPr="00222AFC">
        <w:t xml:space="preserve"> of </w:t>
      </w:r>
      <w:r>
        <w:t>starch based</w:t>
      </w:r>
      <w:r w:rsidRPr="00222AFC">
        <w:t xml:space="preserve"> products is clearly articulated in the </w:t>
      </w:r>
      <w:r>
        <w:t>a</w:t>
      </w:r>
      <w:r w:rsidRPr="00222AFC">
        <w:t xml:space="preserve">pplication. The evidence presented to support the proposed uses provides adequate assurance that the enzyme, in the form and prescribed amounts, is technologically justified and has been demonstrated to be effective in achieving its stated purpose. The stated purpose is to </w:t>
      </w:r>
      <w:r>
        <w:t>hydrolyse starch</w:t>
      </w:r>
      <w:r w:rsidRPr="00AA0ACE">
        <w:t xml:space="preserve"> </w:t>
      </w:r>
      <w:r>
        <w:t>for the production of syrups, distilled beverages, beer, bread, and juices</w:t>
      </w:r>
      <w:r w:rsidRPr="00222AFC">
        <w:t xml:space="preserve">. </w:t>
      </w:r>
      <w:r w:rsidRPr="00C04610">
        <w:t>The enzyme performs its technological purpose during production and manufacture of foods after which it is inactivated thereby not performing a technological function in the final food.</w:t>
      </w:r>
      <w:r w:rsidRPr="00222AFC">
        <w:t xml:space="preserve"> It is therefore appropriately categorised as a processing aid and not a food additive. The enzyme preparation meets international purity specifications.</w:t>
      </w:r>
    </w:p>
    <w:p w14:paraId="5B2C9CE0" w14:textId="66AA824F" w:rsidR="00CA3849" w:rsidRPr="001E6A7B" w:rsidRDefault="00CA3849" w:rsidP="00BD59CB">
      <w:pPr>
        <w:pStyle w:val="Heading1"/>
        <w:ind w:left="567" w:hanging="567"/>
      </w:pPr>
      <w:bookmarkStart w:id="21" w:name="_Toc505255637"/>
      <w:bookmarkStart w:id="22" w:name="_Toc5629731"/>
      <w:r w:rsidRPr="001E6A7B">
        <w:lastRenderedPageBreak/>
        <w:t>3</w:t>
      </w:r>
      <w:r w:rsidR="00BD59CB">
        <w:tab/>
      </w:r>
      <w:r w:rsidRPr="001E6A7B">
        <w:t>Safety assessment</w:t>
      </w:r>
      <w:bookmarkStart w:id="23" w:name="_Toc471740081"/>
      <w:bookmarkStart w:id="24" w:name="_Toc499282437"/>
      <w:bookmarkEnd w:id="21"/>
      <w:bookmarkEnd w:id="22"/>
    </w:p>
    <w:p w14:paraId="598B1BDC" w14:textId="25EC7493" w:rsidR="00CA3849" w:rsidRDefault="00CA3849" w:rsidP="00BD59CB">
      <w:pPr>
        <w:pStyle w:val="Heading2"/>
      </w:pPr>
      <w:bookmarkStart w:id="25" w:name="_Toc505255638"/>
      <w:bookmarkStart w:id="26" w:name="_Toc5629732"/>
      <w:r>
        <w:t>3.1</w:t>
      </w:r>
      <w:r w:rsidR="001E6A7B">
        <w:tab/>
      </w:r>
      <w:r>
        <w:t>Objectives for safety assessment</w:t>
      </w:r>
      <w:bookmarkEnd w:id="25"/>
      <w:bookmarkEnd w:id="26"/>
      <w:r>
        <w:t xml:space="preserve"> </w:t>
      </w:r>
    </w:p>
    <w:p w14:paraId="3A784B27" w14:textId="0D39023C" w:rsidR="00CF1E6E" w:rsidRPr="00F87D40" w:rsidRDefault="00CF1E6E" w:rsidP="00CF1E6E">
      <w:r w:rsidRPr="00F87D40">
        <w:rPr>
          <w:lang w:eastAsia="en-AU" w:bidi="ar-SA"/>
        </w:rPr>
        <w:t xml:space="preserve">The objectives of this </w:t>
      </w:r>
      <w:r>
        <w:rPr>
          <w:lang w:eastAsia="en-AU" w:bidi="ar-SA"/>
        </w:rPr>
        <w:t>safety</w:t>
      </w:r>
      <w:r w:rsidRPr="00F87D40">
        <w:rPr>
          <w:lang w:eastAsia="en-AU" w:bidi="ar-SA"/>
        </w:rPr>
        <w:t xml:space="preserve"> assessment </w:t>
      </w:r>
      <w:r>
        <w:rPr>
          <w:lang w:eastAsia="en-AU" w:bidi="ar-SA"/>
        </w:rPr>
        <w:t xml:space="preserve">for </w:t>
      </w:r>
      <w:r>
        <w:rPr>
          <w:rFonts w:cs="Arial"/>
        </w:rPr>
        <w:t>g</w:t>
      </w:r>
      <w:r w:rsidRPr="00CF1E6E">
        <w:rPr>
          <w:rFonts w:cs="Arial"/>
        </w:rPr>
        <w:t xml:space="preserve">lucoamylase </w:t>
      </w:r>
      <w:r>
        <w:rPr>
          <w:lang w:eastAsia="en-AU" w:bidi="ar-SA"/>
        </w:rPr>
        <w:t>are</w:t>
      </w:r>
      <w:r w:rsidRPr="00F87D40">
        <w:rPr>
          <w:lang w:eastAsia="en-AU" w:bidi="ar-SA"/>
        </w:rPr>
        <w:t xml:space="preserve"> to</w:t>
      </w:r>
      <w:r>
        <w:rPr>
          <w:lang w:eastAsia="en-AU" w:bidi="ar-SA"/>
        </w:rPr>
        <w:t xml:space="preserve"> </w:t>
      </w:r>
      <w:r w:rsidRPr="00807348">
        <w:t>evaluate any potential public health and safety concerns that may arise from the use of this enzyme</w:t>
      </w:r>
      <w:r>
        <w:t xml:space="preserve"> </w:t>
      </w:r>
      <w:r>
        <w:rPr>
          <w:lang w:eastAsia="en-AU"/>
        </w:rPr>
        <w:t xml:space="preserve">protein, produced by a </w:t>
      </w:r>
      <w:r w:rsidR="0055568B">
        <w:rPr>
          <w:lang w:eastAsia="en-AU"/>
        </w:rPr>
        <w:t>GM</w:t>
      </w:r>
      <w:r>
        <w:rPr>
          <w:lang w:eastAsia="en-AU"/>
        </w:rPr>
        <w:t xml:space="preserve"> organism, </w:t>
      </w:r>
      <w:r w:rsidRPr="00F87D40">
        <w:t>as a processing aid.</w:t>
      </w:r>
      <w:r>
        <w:t xml:space="preserve"> Specifically by considering</w:t>
      </w:r>
      <w:r w:rsidR="008C1A60">
        <w:t>:</w:t>
      </w:r>
    </w:p>
    <w:p w14:paraId="33E7FCFF" w14:textId="77777777" w:rsidR="00CF1E6E" w:rsidRPr="00F853CC" w:rsidRDefault="00CF1E6E" w:rsidP="00CF1E6E"/>
    <w:p w14:paraId="65E196B4" w14:textId="1F8FF4C3" w:rsidR="00CF1E6E" w:rsidRDefault="00CF1E6E" w:rsidP="00CF1E6E">
      <w:pPr>
        <w:pStyle w:val="FSBullet1"/>
        <w:ind w:left="360" w:hanging="360"/>
      </w:pPr>
      <w:r w:rsidRPr="00F853CC">
        <w:t>history of us</w:t>
      </w:r>
      <w:r>
        <w:t>e of th</w:t>
      </w:r>
      <w:r w:rsidR="008C1A60">
        <w:t>e host and gene donor organisms</w:t>
      </w:r>
    </w:p>
    <w:p w14:paraId="1A5F6FF4" w14:textId="332DA601" w:rsidR="00CF1E6E" w:rsidRPr="00460133" w:rsidRDefault="00CF1E6E" w:rsidP="00CF1E6E">
      <w:pPr>
        <w:pStyle w:val="FSBullet1"/>
        <w:ind w:left="360" w:hanging="360"/>
      </w:pPr>
      <w:r>
        <w:t xml:space="preserve">characterisation of </w:t>
      </w:r>
      <w:r w:rsidR="008C1A60">
        <w:t>the genetic modification(s)</w:t>
      </w:r>
    </w:p>
    <w:p w14:paraId="486E7A5F" w14:textId="2984F03E" w:rsidR="00CF1E6E" w:rsidRPr="0002763B" w:rsidRDefault="00CF1E6E" w:rsidP="00CF1E6E">
      <w:pPr>
        <w:pStyle w:val="FSBullet1"/>
        <w:ind w:left="360" w:hanging="360"/>
      </w:pPr>
      <w:r>
        <w:t>safety of the enzyme protein.</w:t>
      </w:r>
    </w:p>
    <w:p w14:paraId="3D6D4F4C" w14:textId="2A320A26" w:rsidR="00CA3849" w:rsidRPr="006C2969" w:rsidRDefault="00CA3849" w:rsidP="00BD59CB">
      <w:pPr>
        <w:pStyle w:val="Heading2"/>
      </w:pPr>
      <w:bookmarkStart w:id="27" w:name="_Toc471740085"/>
      <w:bookmarkStart w:id="28" w:name="_Toc499282440"/>
      <w:bookmarkStart w:id="29" w:name="_Toc505255639"/>
      <w:bookmarkStart w:id="30" w:name="_Toc5629733"/>
      <w:bookmarkEnd w:id="23"/>
      <w:bookmarkEnd w:id="24"/>
      <w:r w:rsidRPr="006C2969">
        <w:t>3.2</w:t>
      </w:r>
      <w:bookmarkEnd w:id="27"/>
      <w:r w:rsidR="001E6A7B">
        <w:tab/>
      </w:r>
      <w:r w:rsidRPr="006C2969">
        <w:t>History of use</w:t>
      </w:r>
      <w:bookmarkEnd w:id="28"/>
      <w:bookmarkEnd w:id="29"/>
      <w:bookmarkEnd w:id="30"/>
      <w:r w:rsidRPr="006C2969">
        <w:t xml:space="preserve"> </w:t>
      </w:r>
    </w:p>
    <w:p w14:paraId="2587F027" w14:textId="7B9BB4D1" w:rsidR="00CA3849" w:rsidRDefault="00CA3849" w:rsidP="00BD59CB">
      <w:pPr>
        <w:pStyle w:val="Heading3"/>
      </w:pPr>
      <w:bookmarkStart w:id="31" w:name="_Toc498940968"/>
      <w:bookmarkStart w:id="32" w:name="_Toc499282441"/>
      <w:bookmarkStart w:id="33" w:name="_Toc5629734"/>
      <w:r>
        <w:t>3.2.1</w:t>
      </w:r>
      <w:r w:rsidR="0035149D">
        <w:tab/>
      </w:r>
      <w:r>
        <w:t>Host organism</w:t>
      </w:r>
      <w:bookmarkEnd w:id="31"/>
      <w:bookmarkEnd w:id="32"/>
      <w:bookmarkEnd w:id="33"/>
      <w:r>
        <w:t xml:space="preserve"> </w:t>
      </w:r>
    </w:p>
    <w:p w14:paraId="251D79B1" w14:textId="2326530A" w:rsidR="00EB429D" w:rsidRDefault="003E44B5" w:rsidP="00EB429D">
      <w:r w:rsidRPr="00900533">
        <w:rPr>
          <w:i/>
        </w:rPr>
        <w:t>A</w:t>
      </w:r>
      <w:r>
        <w:rPr>
          <w:i/>
        </w:rPr>
        <w:t>.</w:t>
      </w:r>
      <w:r w:rsidRPr="00900533">
        <w:rPr>
          <w:i/>
        </w:rPr>
        <w:t xml:space="preserve"> </w:t>
      </w:r>
      <w:r w:rsidR="00EB429D" w:rsidRPr="00900533">
        <w:rPr>
          <w:i/>
        </w:rPr>
        <w:t>niger</w:t>
      </w:r>
      <w:r w:rsidR="00EB429D">
        <w:t xml:space="preserve"> is a filamentous fungus ubiquitous in the environment. In nature it can be found in soil and litter, in compost and on decaying plant material (Schuster et al. 2002). The ability of </w:t>
      </w:r>
      <w:r w:rsidR="00EB429D" w:rsidRPr="00610580">
        <w:rPr>
          <w:i/>
        </w:rPr>
        <w:t>A</w:t>
      </w:r>
      <w:r w:rsidR="00EB429D">
        <w:rPr>
          <w:i/>
        </w:rPr>
        <w:t xml:space="preserve">. </w:t>
      </w:r>
      <w:r w:rsidR="00EB429D" w:rsidRPr="00610580">
        <w:rPr>
          <w:i/>
        </w:rPr>
        <w:t xml:space="preserve">niger </w:t>
      </w:r>
      <w:r w:rsidR="00EB429D">
        <w:t xml:space="preserve">to produce extracellular organic acids has been industrially exploited since 1919 (Schuster et al. 2002). Citric acid, the primary </w:t>
      </w:r>
      <w:r w:rsidR="00A4525C">
        <w:t xml:space="preserve">acidulant </w:t>
      </w:r>
      <w:r w:rsidR="00EB429D">
        <w:t>in the food and beverage industry,</w:t>
      </w:r>
      <w:r w:rsidR="00EB429D" w:rsidRPr="0022432D">
        <w:t xml:space="preserve"> is mostly produced by microbial fermentation using </w:t>
      </w:r>
      <w:r w:rsidR="00EB429D" w:rsidRPr="0022432D">
        <w:rPr>
          <w:i/>
        </w:rPr>
        <w:t>A</w:t>
      </w:r>
      <w:r w:rsidR="00EB429D">
        <w:rPr>
          <w:i/>
        </w:rPr>
        <w:t>.</w:t>
      </w:r>
      <w:r w:rsidR="00EB429D" w:rsidRPr="0022432D">
        <w:rPr>
          <w:i/>
        </w:rPr>
        <w:t xml:space="preserve"> niger</w:t>
      </w:r>
      <w:r w:rsidR="00EB429D">
        <w:rPr>
          <w:i/>
        </w:rPr>
        <w:t xml:space="preserve"> </w:t>
      </w:r>
      <w:r w:rsidR="00EB429D">
        <w:t>(</w:t>
      </w:r>
      <w:r w:rsidR="00EB429D" w:rsidRPr="0022432D">
        <w:t>Show et al</w:t>
      </w:r>
      <w:r w:rsidR="00EB429D">
        <w:t>.</w:t>
      </w:r>
      <w:r w:rsidR="00EB429D" w:rsidRPr="0022432D">
        <w:t xml:space="preserve"> 2015</w:t>
      </w:r>
      <w:r w:rsidR="00EB429D">
        <w:t xml:space="preserve">). In addition to citric acid, </w:t>
      </w:r>
      <w:r w:rsidR="00EB429D" w:rsidRPr="00610580">
        <w:rPr>
          <w:i/>
        </w:rPr>
        <w:t>A niger</w:t>
      </w:r>
      <w:r w:rsidR="00EB429D">
        <w:t xml:space="preserve"> is also a source of enzymes like amylase, amyloglucosidase, pectinases and many others that are currently used in food processing (Gautam et al. 2011; Pariza and Johnson 2001). The US Food and Drug Administration has accepted numerous enzymes for food use derived from </w:t>
      </w:r>
      <w:r w:rsidR="00EB429D" w:rsidRPr="00C921A0">
        <w:rPr>
          <w:i/>
        </w:rPr>
        <w:t>A</w:t>
      </w:r>
      <w:r w:rsidR="00EB429D">
        <w:rPr>
          <w:i/>
        </w:rPr>
        <w:t>.</w:t>
      </w:r>
      <w:r w:rsidR="00EB429D" w:rsidRPr="00C921A0">
        <w:rPr>
          <w:i/>
        </w:rPr>
        <w:t xml:space="preserve"> niger</w:t>
      </w:r>
      <w:r w:rsidR="00EB429D">
        <w:t xml:space="preserve">, which is </w:t>
      </w:r>
      <w:hyperlink r:id="rId24" w:history="1">
        <w:r w:rsidR="00EB429D" w:rsidRPr="00FC18DA">
          <w:rPr>
            <w:rStyle w:val="Hyperlink"/>
          </w:rPr>
          <w:t xml:space="preserve">‘generally </w:t>
        </w:r>
        <w:r w:rsidR="00644504">
          <w:rPr>
            <w:rStyle w:val="Hyperlink"/>
          </w:rPr>
          <w:t xml:space="preserve">recognized </w:t>
        </w:r>
        <w:r w:rsidR="00EB429D" w:rsidRPr="00FC18DA">
          <w:rPr>
            <w:rStyle w:val="Hyperlink"/>
          </w:rPr>
          <w:t>as safe’ (GRAS)</w:t>
        </w:r>
      </w:hyperlink>
      <w:r w:rsidR="00EB429D">
        <w:t xml:space="preserve"> under the condition that non-pathogenic and non-toxigenic strains are used in production. </w:t>
      </w:r>
      <w:r w:rsidR="00EB429D" w:rsidRPr="00155D4B">
        <w:rPr>
          <w:i/>
        </w:rPr>
        <w:t>A. niger</w:t>
      </w:r>
      <w:r w:rsidR="00EB429D" w:rsidRPr="00155D4B">
        <w:t xml:space="preserve"> has a </w:t>
      </w:r>
      <w:r w:rsidR="00EB429D">
        <w:t xml:space="preserve">long </w:t>
      </w:r>
      <w:r w:rsidR="00EB429D" w:rsidRPr="00155D4B">
        <w:t>history of safe use as a production organism for food enzymes and is a permitted source of a number of enzymes in the Code</w:t>
      </w:r>
      <w:r w:rsidR="00C04610">
        <w:t xml:space="preserve"> (Schedule 18)</w:t>
      </w:r>
      <w:r w:rsidR="00EB429D">
        <w:t>.</w:t>
      </w:r>
    </w:p>
    <w:p w14:paraId="76D24C38" w14:textId="77777777" w:rsidR="00EB429D" w:rsidRDefault="00EB429D" w:rsidP="00EB429D"/>
    <w:p w14:paraId="11E55C7D" w14:textId="481623A1" w:rsidR="00CF1E6E" w:rsidRDefault="00EB429D" w:rsidP="00EB429D">
      <w:r w:rsidRPr="00FC18DA">
        <w:rPr>
          <w:i/>
        </w:rPr>
        <w:t>A</w:t>
      </w:r>
      <w:r>
        <w:rPr>
          <w:i/>
        </w:rPr>
        <w:t>.</w:t>
      </w:r>
      <w:r w:rsidRPr="00FC18DA">
        <w:rPr>
          <w:i/>
        </w:rPr>
        <w:t xml:space="preserve"> niger</w:t>
      </w:r>
      <w:r>
        <w:t xml:space="preserve"> has been reported as an opportunistic </w:t>
      </w:r>
      <w:r w:rsidR="00A4525C">
        <w:t xml:space="preserve">pathogen </w:t>
      </w:r>
      <w:r>
        <w:t xml:space="preserve">of immunocompromised individuals (Atchade et al. 2017; </w:t>
      </w:r>
      <w:r w:rsidRPr="00001D22">
        <w:t>Person et al</w:t>
      </w:r>
      <w:r>
        <w:t>.</w:t>
      </w:r>
      <w:r w:rsidRPr="00001D22">
        <w:t xml:space="preserve"> 2010</w:t>
      </w:r>
      <w:r>
        <w:t xml:space="preserve">). However, </w:t>
      </w:r>
      <w:r w:rsidR="00A4525C" w:rsidRPr="00900533">
        <w:rPr>
          <w:i/>
        </w:rPr>
        <w:t>A</w:t>
      </w:r>
      <w:r w:rsidR="00A4525C" w:rsidRPr="00DF2F14">
        <w:t>.</w:t>
      </w:r>
      <w:r w:rsidR="00A4525C" w:rsidRPr="00900533">
        <w:rPr>
          <w:i/>
        </w:rPr>
        <w:t xml:space="preserve"> </w:t>
      </w:r>
      <w:r w:rsidRPr="00900533">
        <w:rPr>
          <w:i/>
        </w:rPr>
        <w:t>niger</w:t>
      </w:r>
      <w:r>
        <w:t xml:space="preserve"> is generally regarded as a non-pathogenic fungus to which humans are frequently exposed without disease becoming apparent (Schuster et al. 2002). S</w:t>
      </w:r>
      <w:r w:rsidRPr="00F64AD8">
        <w:t xml:space="preserve">ome strains of </w:t>
      </w:r>
      <w:r w:rsidRPr="00FD106F">
        <w:rPr>
          <w:i/>
        </w:rPr>
        <w:t>A</w:t>
      </w:r>
      <w:r>
        <w:rPr>
          <w:i/>
        </w:rPr>
        <w:t>.</w:t>
      </w:r>
      <w:r w:rsidRPr="00FD106F">
        <w:rPr>
          <w:i/>
        </w:rPr>
        <w:t xml:space="preserve"> niger</w:t>
      </w:r>
      <w:r>
        <w:t xml:space="preserve"> </w:t>
      </w:r>
      <w:r w:rsidRPr="00F64AD8">
        <w:t xml:space="preserve">are capable of producing toxins </w:t>
      </w:r>
      <w:r>
        <w:t>like ochratoxins and fuminisins, which</w:t>
      </w:r>
      <w:r w:rsidRPr="00F64AD8">
        <w:t xml:space="preserve"> are harmful to human heal</w:t>
      </w:r>
      <w:r>
        <w:t xml:space="preserve">th (Frisvad et al. 2011). The applicant confirmed that the </w:t>
      </w:r>
      <w:r w:rsidRPr="007A3FCA">
        <w:rPr>
          <w:i/>
        </w:rPr>
        <w:t>A. niger</w:t>
      </w:r>
      <w:r>
        <w:t xml:space="preserve"> production strain belong</w:t>
      </w:r>
      <w:r w:rsidR="00A4525C">
        <w:t>s</w:t>
      </w:r>
      <w:r>
        <w:t xml:space="preserve"> to a strain lineage which is non-pathogenic and does not produce any known mycotoxin.</w:t>
      </w:r>
    </w:p>
    <w:p w14:paraId="59F7D269" w14:textId="77777777" w:rsidR="00EB429D" w:rsidRDefault="00EB429D" w:rsidP="00EB429D">
      <w:pPr>
        <w:rPr>
          <w:lang w:eastAsia="en-AU" w:bidi="ar-SA"/>
        </w:rPr>
      </w:pPr>
    </w:p>
    <w:p w14:paraId="0728524B" w14:textId="65199927" w:rsidR="00CF1E6E" w:rsidRPr="00CF1E6E" w:rsidRDefault="00062989" w:rsidP="00CF1E6E">
      <w:r>
        <w:rPr>
          <w:rFonts w:cs="Arial"/>
          <w:color w:val="000000" w:themeColor="text1"/>
        </w:rPr>
        <w:t>T</w:t>
      </w:r>
      <w:r w:rsidR="00C96F33" w:rsidRPr="00B75BBE">
        <w:rPr>
          <w:rFonts w:cs="Arial"/>
          <w:color w:val="000000" w:themeColor="text1"/>
        </w:rPr>
        <w:t xml:space="preserve">he </w:t>
      </w:r>
      <w:r>
        <w:rPr>
          <w:rFonts w:cs="Arial"/>
          <w:color w:val="000000" w:themeColor="text1"/>
        </w:rPr>
        <w:t>host strain had previously been</w:t>
      </w:r>
      <w:r w:rsidR="00C96F33" w:rsidRPr="00B75BBE">
        <w:rPr>
          <w:rFonts w:cs="Arial"/>
          <w:color w:val="000000" w:themeColor="text1"/>
        </w:rPr>
        <w:t xml:space="preserve"> modified using a range of conventional mutagenesis </w:t>
      </w:r>
      <w:r w:rsidR="00C96F33">
        <w:rPr>
          <w:rFonts w:cs="Arial"/>
          <w:color w:val="000000" w:themeColor="text1"/>
        </w:rPr>
        <w:t>and genetic</w:t>
      </w:r>
      <w:r w:rsidR="00C96F33" w:rsidRPr="00B75BBE">
        <w:rPr>
          <w:rFonts w:cs="Arial"/>
          <w:color w:val="000000" w:themeColor="text1"/>
        </w:rPr>
        <w:t xml:space="preserve"> </w:t>
      </w:r>
      <w:r w:rsidR="00C96F33">
        <w:rPr>
          <w:rFonts w:cs="Arial"/>
          <w:color w:val="000000" w:themeColor="text1"/>
        </w:rPr>
        <w:t>modification steps</w:t>
      </w:r>
      <w:r w:rsidR="00C96F33" w:rsidRPr="00B75BBE">
        <w:rPr>
          <w:rFonts w:cs="Arial"/>
          <w:color w:val="000000" w:themeColor="text1"/>
        </w:rPr>
        <w:t xml:space="preserve"> that are routinely used to optimise organisms for industrial use. These changes have </w:t>
      </w:r>
      <w:r w:rsidR="00C96F33">
        <w:rPr>
          <w:rFonts w:cs="Arial"/>
          <w:color w:val="000000" w:themeColor="text1"/>
        </w:rPr>
        <w:t xml:space="preserve">been characterised and </w:t>
      </w:r>
      <w:r w:rsidR="00C96F33" w:rsidRPr="00B75BBE">
        <w:rPr>
          <w:rFonts w:cs="Arial"/>
          <w:color w:val="000000" w:themeColor="text1"/>
        </w:rPr>
        <w:t xml:space="preserve">include silencing of unnecessary proteins that would impact the yield and purity of </w:t>
      </w:r>
      <w:r w:rsidR="00A4525C">
        <w:rPr>
          <w:rFonts w:cs="Arial"/>
        </w:rPr>
        <w:t>g</w:t>
      </w:r>
      <w:r w:rsidR="00A4525C" w:rsidRPr="00CF1E6E">
        <w:rPr>
          <w:rFonts w:cs="Arial"/>
        </w:rPr>
        <w:t xml:space="preserve">lucoamylase </w:t>
      </w:r>
      <w:r w:rsidR="008342CD" w:rsidRPr="00B75BBE">
        <w:rPr>
          <w:rFonts w:cs="Arial"/>
          <w:color w:val="000000" w:themeColor="text1"/>
        </w:rPr>
        <w:t>and to increase the ability and efficiency to transform the host</w:t>
      </w:r>
      <w:r w:rsidR="00693870">
        <w:rPr>
          <w:lang w:eastAsia="en-AU" w:bidi="ar-SA"/>
        </w:rPr>
        <w:t>.</w:t>
      </w:r>
      <w:r w:rsidR="00C96F33">
        <w:rPr>
          <w:lang w:eastAsia="en-AU" w:bidi="ar-SA"/>
        </w:rPr>
        <w:t xml:space="preserve"> </w:t>
      </w:r>
      <w:r w:rsidR="00704D7B">
        <w:rPr>
          <w:lang w:eastAsia="en-AU" w:bidi="ar-SA"/>
        </w:rPr>
        <w:t xml:space="preserve">An intermediate strain </w:t>
      </w:r>
      <w:r w:rsidR="00EB429D">
        <w:t xml:space="preserve">was deposited and taxonomically characterized by </w:t>
      </w:r>
      <w:r>
        <w:t xml:space="preserve">the </w:t>
      </w:r>
      <w:r>
        <w:rPr>
          <w:rFonts w:cs="Arial"/>
          <w:color w:val="222222"/>
          <w:lang w:val="en-AU"/>
        </w:rPr>
        <w:t>German Collection of Microorganisms and Cell Cultures GmbH</w:t>
      </w:r>
      <w:r>
        <w:t xml:space="preserve"> (DSMZ).</w:t>
      </w:r>
      <w:r w:rsidR="00EB429D">
        <w:t xml:space="preserve"> The characterization was based on morphological and molecular methods including </w:t>
      </w:r>
      <w:r>
        <w:t>DNA</w:t>
      </w:r>
      <w:r w:rsidR="00EB429D">
        <w:t xml:space="preserve"> sequencing</w:t>
      </w:r>
      <w:r>
        <w:t>,</w:t>
      </w:r>
      <w:r w:rsidR="00EB429D">
        <w:t xml:space="preserve"> </w:t>
      </w:r>
      <w:r w:rsidR="003370AE">
        <w:t>and</w:t>
      </w:r>
      <w:r w:rsidR="00EB429D" w:rsidRPr="00B82FA2">
        <w:t xml:space="preserve"> confirm</w:t>
      </w:r>
      <w:r w:rsidR="003370AE">
        <w:t>ed</w:t>
      </w:r>
      <w:r w:rsidR="00EB429D" w:rsidRPr="00B82FA2">
        <w:t xml:space="preserve"> the taxonomy as </w:t>
      </w:r>
      <w:r w:rsidR="00EB429D" w:rsidRPr="00B82FA2">
        <w:rPr>
          <w:i/>
        </w:rPr>
        <w:t>A</w:t>
      </w:r>
      <w:r>
        <w:rPr>
          <w:i/>
        </w:rPr>
        <w:t xml:space="preserve">. </w:t>
      </w:r>
      <w:r w:rsidR="00EB429D" w:rsidRPr="00B82FA2">
        <w:rPr>
          <w:i/>
        </w:rPr>
        <w:t>niger</w:t>
      </w:r>
      <w:r w:rsidR="00EB429D" w:rsidRPr="00B82FA2">
        <w:t>.</w:t>
      </w:r>
    </w:p>
    <w:p w14:paraId="702F4322" w14:textId="313EE61F" w:rsidR="00CA3849" w:rsidRDefault="00CA3849" w:rsidP="00BD59CB">
      <w:pPr>
        <w:pStyle w:val="Heading3"/>
      </w:pPr>
      <w:bookmarkStart w:id="34" w:name="_Toc498940969"/>
      <w:bookmarkStart w:id="35" w:name="_Toc499282442"/>
      <w:bookmarkStart w:id="36" w:name="_Toc5629735"/>
      <w:r>
        <w:t>3.2.2</w:t>
      </w:r>
      <w:r w:rsidR="0035149D">
        <w:tab/>
      </w:r>
      <w:r>
        <w:t>Gene donor organism(s)</w:t>
      </w:r>
      <w:bookmarkEnd w:id="34"/>
      <w:bookmarkEnd w:id="35"/>
      <w:bookmarkEnd w:id="36"/>
      <w:r>
        <w:t xml:space="preserve"> </w:t>
      </w:r>
    </w:p>
    <w:p w14:paraId="077E7C18" w14:textId="77777777" w:rsidR="00F077FF" w:rsidRPr="00F077FF" w:rsidRDefault="00CF1E6E" w:rsidP="00CF1E6E">
      <w:pPr>
        <w:spacing w:line="20" w:lineRule="atLeast"/>
        <w:rPr>
          <w:rFonts w:cs="Arial"/>
          <w:i/>
          <w:color w:val="000000" w:themeColor="text1"/>
        </w:rPr>
      </w:pPr>
      <w:r w:rsidRPr="00F077FF">
        <w:rPr>
          <w:rFonts w:cs="Arial"/>
          <w:i/>
          <w:color w:val="000000" w:themeColor="text1"/>
        </w:rPr>
        <w:t>Talaromyces emersonii</w:t>
      </w:r>
    </w:p>
    <w:p w14:paraId="474CCACB" w14:textId="77777777" w:rsidR="00F077FF" w:rsidRDefault="00F077FF" w:rsidP="00CF1E6E">
      <w:pPr>
        <w:spacing w:line="20" w:lineRule="atLeast"/>
        <w:rPr>
          <w:rFonts w:cs="Arial"/>
          <w:color w:val="000000" w:themeColor="text1"/>
        </w:rPr>
      </w:pPr>
    </w:p>
    <w:p w14:paraId="79CD70E2" w14:textId="0B8C6459" w:rsidR="00CA3849" w:rsidRDefault="008B2D8A" w:rsidP="00CF1E6E">
      <w:pPr>
        <w:spacing w:line="20" w:lineRule="atLeast"/>
        <w:rPr>
          <w:rFonts w:cs="Arial"/>
          <w:color w:val="000000" w:themeColor="text1"/>
        </w:rPr>
      </w:pPr>
      <w:r>
        <w:rPr>
          <w:rFonts w:cs="Arial"/>
          <w:color w:val="000000" w:themeColor="text1"/>
        </w:rPr>
        <w:t xml:space="preserve">The gene sequence for </w:t>
      </w:r>
      <w:r w:rsidR="002942C5">
        <w:rPr>
          <w:rFonts w:cs="Arial"/>
          <w:color w:val="000000" w:themeColor="text1"/>
        </w:rPr>
        <w:t xml:space="preserve">the </w:t>
      </w:r>
      <w:r w:rsidR="00451BFF">
        <w:rPr>
          <w:rFonts w:cs="Arial"/>
          <w:color w:val="000000" w:themeColor="text1"/>
        </w:rPr>
        <w:t>glucoamylase</w:t>
      </w:r>
      <w:r>
        <w:rPr>
          <w:rFonts w:cs="Arial"/>
          <w:color w:val="000000" w:themeColor="text1"/>
        </w:rPr>
        <w:t xml:space="preserve"> </w:t>
      </w:r>
      <w:r w:rsidR="002942C5">
        <w:rPr>
          <w:rFonts w:cs="Arial"/>
          <w:color w:val="000000" w:themeColor="text1"/>
        </w:rPr>
        <w:t>processing aid</w:t>
      </w:r>
      <w:r w:rsidR="002A77F4">
        <w:rPr>
          <w:rFonts w:cs="Arial"/>
          <w:color w:val="000000" w:themeColor="text1"/>
        </w:rPr>
        <w:t xml:space="preserve"> (</w:t>
      </w:r>
      <w:r w:rsidR="002A77F4" w:rsidRPr="004C4CCD">
        <w:rPr>
          <w:rFonts w:cs="Arial"/>
          <w:i/>
          <w:color w:val="000000" w:themeColor="text1"/>
        </w:rPr>
        <w:t>amgGT</w:t>
      </w:r>
      <w:r w:rsidR="002A77F4">
        <w:rPr>
          <w:rFonts w:cs="Arial"/>
          <w:color w:val="000000" w:themeColor="text1"/>
        </w:rPr>
        <w:t>)</w:t>
      </w:r>
      <w:r w:rsidR="002942C5">
        <w:rPr>
          <w:rFonts w:cs="Arial"/>
          <w:color w:val="000000" w:themeColor="text1"/>
        </w:rPr>
        <w:t xml:space="preserve"> was</w:t>
      </w:r>
      <w:r w:rsidR="00D168FF">
        <w:rPr>
          <w:rFonts w:cs="Arial"/>
          <w:color w:val="000000" w:themeColor="text1"/>
        </w:rPr>
        <w:t xml:space="preserve"> isolated from </w:t>
      </w:r>
      <w:r w:rsidR="00D168FF" w:rsidRPr="008342CD">
        <w:rPr>
          <w:rFonts w:cs="Arial"/>
          <w:i/>
          <w:color w:val="000000" w:themeColor="text1"/>
        </w:rPr>
        <w:t>T. emersonii</w:t>
      </w:r>
      <w:r w:rsidR="00D168FF">
        <w:rPr>
          <w:rFonts w:cs="Arial"/>
          <w:color w:val="000000" w:themeColor="text1"/>
        </w:rPr>
        <w:t xml:space="preserve"> (</w:t>
      </w:r>
      <w:r w:rsidR="000A3FCD">
        <w:rPr>
          <w:rFonts w:cs="Arial"/>
          <w:color w:val="000000" w:themeColor="text1"/>
        </w:rPr>
        <w:t>Nielsen et al, 2002</w:t>
      </w:r>
      <w:r w:rsidR="00D168FF">
        <w:rPr>
          <w:rFonts w:cs="Arial"/>
          <w:color w:val="000000" w:themeColor="text1"/>
        </w:rPr>
        <w:t>)</w:t>
      </w:r>
      <w:r w:rsidR="002A77F4">
        <w:rPr>
          <w:rFonts w:cs="Arial"/>
          <w:color w:val="000000" w:themeColor="text1"/>
        </w:rPr>
        <w:t>.</w:t>
      </w:r>
      <w:r>
        <w:rPr>
          <w:rFonts w:cs="Arial"/>
          <w:color w:val="000000" w:themeColor="text1"/>
        </w:rPr>
        <w:t xml:space="preserve"> </w:t>
      </w:r>
      <w:r w:rsidR="002A77F4" w:rsidRPr="002A77F4">
        <w:rPr>
          <w:lang w:eastAsia="en-AU" w:bidi="ar-SA"/>
        </w:rPr>
        <w:t>This organism</w:t>
      </w:r>
      <w:r w:rsidR="00F077FF" w:rsidRPr="002C3BF4">
        <w:rPr>
          <w:lang w:eastAsia="en-AU" w:bidi="ar-SA"/>
        </w:rPr>
        <w:t xml:space="preserve"> </w:t>
      </w:r>
      <w:r w:rsidR="00F077FF">
        <w:rPr>
          <w:rFonts w:cs="Arial"/>
          <w:color w:val="000000" w:themeColor="text1"/>
        </w:rPr>
        <w:t>is a</w:t>
      </w:r>
      <w:r w:rsidR="00341494">
        <w:rPr>
          <w:rFonts w:cs="Arial"/>
          <w:color w:val="000000" w:themeColor="text1"/>
        </w:rPr>
        <w:t xml:space="preserve"> thermophilic</w:t>
      </w:r>
      <w:r w:rsidR="00F077FF" w:rsidRPr="00A83ECA">
        <w:rPr>
          <w:rFonts w:cs="Arial"/>
          <w:color w:val="000000" w:themeColor="text1"/>
        </w:rPr>
        <w:t xml:space="preserve"> </w:t>
      </w:r>
      <w:r w:rsidR="00F077FF">
        <w:rPr>
          <w:rFonts w:cs="Arial"/>
          <w:color w:val="000000" w:themeColor="text1"/>
        </w:rPr>
        <w:t>fungi that was</w:t>
      </w:r>
      <w:r w:rsidR="00F077FF" w:rsidRPr="00A83ECA">
        <w:rPr>
          <w:rFonts w:cs="Arial"/>
          <w:color w:val="000000" w:themeColor="text1"/>
        </w:rPr>
        <w:t xml:space="preserve"> </w:t>
      </w:r>
      <w:r w:rsidR="002A77F4">
        <w:rPr>
          <w:rFonts w:cs="Arial"/>
          <w:color w:val="000000" w:themeColor="text1"/>
        </w:rPr>
        <w:t xml:space="preserve">initially </w:t>
      </w:r>
      <w:r w:rsidR="00F077FF">
        <w:rPr>
          <w:rFonts w:cs="Arial"/>
          <w:color w:val="000000" w:themeColor="text1"/>
        </w:rPr>
        <w:lastRenderedPageBreak/>
        <w:t>isolated from compost</w:t>
      </w:r>
      <w:r w:rsidR="00A4525C">
        <w:rPr>
          <w:rFonts w:cs="Arial"/>
          <w:color w:val="000000" w:themeColor="text1"/>
        </w:rPr>
        <w:t>. It</w:t>
      </w:r>
      <w:r>
        <w:rPr>
          <w:rFonts w:cs="Arial"/>
          <w:color w:val="000000" w:themeColor="text1"/>
        </w:rPr>
        <w:t xml:space="preserve"> has </w:t>
      </w:r>
      <w:r w:rsidR="00D571E9">
        <w:rPr>
          <w:rFonts w:cs="Arial"/>
          <w:color w:val="000000" w:themeColor="text1"/>
        </w:rPr>
        <w:t xml:space="preserve">not been listed in the </w:t>
      </w:r>
      <w:hyperlink r:id="rId25" w:anchor="_Toc446948380" w:history="1">
        <w:r w:rsidR="00D571E9" w:rsidRPr="00D571E9">
          <w:rPr>
            <w:rStyle w:val="Hyperlink"/>
            <w:rFonts w:cs="Arial"/>
          </w:rPr>
          <w:t>NIH Guidelines</w:t>
        </w:r>
      </w:hyperlink>
      <w:r w:rsidR="00D571E9">
        <w:rPr>
          <w:rStyle w:val="FootnoteReference"/>
          <w:rFonts w:cs="Arial"/>
          <w:color w:val="000000" w:themeColor="text1"/>
        </w:rPr>
        <w:footnoteReference w:id="5"/>
      </w:r>
      <w:r w:rsidR="00D571E9">
        <w:rPr>
          <w:rFonts w:cs="Arial"/>
          <w:color w:val="000000" w:themeColor="text1"/>
        </w:rPr>
        <w:t xml:space="preserve"> in risk groups 2-4 </w:t>
      </w:r>
      <w:r w:rsidR="00A4525C">
        <w:rPr>
          <w:rFonts w:cs="Arial"/>
          <w:color w:val="000000" w:themeColor="text1"/>
        </w:rPr>
        <w:t xml:space="preserve">and is </w:t>
      </w:r>
      <w:r w:rsidR="00D571E9">
        <w:rPr>
          <w:rFonts w:cs="Arial"/>
          <w:color w:val="000000" w:themeColor="text1"/>
        </w:rPr>
        <w:t xml:space="preserve">thus considered a risk group 1 </w:t>
      </w:r>
      <w:r w:rsidR="00D571E9" w:rsidRPr="003235C3">
        <w:rPr>
          <w:rFonts w:cs="Arial"/>
          <w:color w:val="000000" w:themeColor="text1"/>
        </w:rPr>
        <w:t>agent</w:t>
      </w:r>
      <w:r w:rsidR="00D571E9">
        <w:rPr>
          <w:rFonts w:cs="Arial"/>
          <w:color w:val="000000" w:themeColor="text1"/>
        </w:rPr>
        <w:t>, which is not associated with disease in healthy adult humans</w:t>
      </w:r>
      <w:r>
        <w:rPr>
          <w:rFonts w:cs="Arial"/>
          <w:color w:val="000000" w:themeColor="text1"/>
        </w:rPr>
        <w:t>.</w:t>
      </w:r>
    </w:p>
    <w:p w14:paraId="54CB0053" w14:textId="161BC817" w:rsidR="00F077FF" w:rsidRDefault="00F077FF" w:rsidP="00CF1E6E">
      <w:pPr>
        <w:spacing w:line="20" w:lineRule="atLeast"/>
        <w:rPr>
          <w:rFonts w:cs="Arial"/>
          <w:color w:val="000000" w:themeColor="text1"/>
        </w:rPr>
      </w:pPr>
    </w:p>
    <w:p w14:paraId="42D7C690" w14:textId="611439F7" w:rsidR="00F077FF" w:rsidRPr="00F077FF" w:rsidRDefault="008651BF" w:rsidP="00CF1E6E">
      <w:pPr>
        <w:spacing w:line="20" w:lineRule="atLeast"/>
        <w:rPr>
          <w:rFonts w:cs="Arial"/>
          <w:i/>
          <w:color w:val="000000" w:themeColor="text1"/>
        </w:rPr>
      </w:pPr>
      <w:r>
        <w:rPr>
          <w:rFonts w:cs="Arial"/>
          <w:i/>
          <w:color w:val="000000" w:themeColor="text1"/>
        </w:rPr>
        <w:t>Other organisms</w:t>
      </w:r>
    </w:p>
    <w:p w14:paraId="06FDD243" w14:textId="2234F418" w:rsidR="00F077FF" w:rsidRDefault="00F077FF" w:rsidP="00CF1E6E">
      <w:pPr>
        <w:spacing w:line="20" w:lineRule="atLeast"/>
        <w:rPr>
          <w:rFonts w:cs="Arial"/>
          <w:color w:val="000000" w:themeColor="text1"/>
        </w:rPr>
      </w:pPr>
    </w:p>
    <w:p w14:paraId="7B65E35E" w14:textId="09289E2C" w:rsidR="002A77F4" w:rsidRDefault="00912AD0" w:rsidP="00CF1E6E">
      <w:pPr>
        <w:spacing w:line="20" w:lineRule="atLeast"/>
        <w:rPr>
          <w:rFonts w:cs="Arial"/>
          <w:color w:val="000000" w:themeColor="text1"/>
        </w:rPr>
      </w:pPr>
      <w:r>
        <w:rPr>
          <w:rFonts w:cs="Arial"/>
          <w:color w:val="000000" w:themeColor="text1"/>
        </w:rPr>
        <w:t>The endogenous</w:t>
      </w:r>
      <w:r w:rsidR="00640C77">
        <w:rPr>
          <w:rFonts w:cs="Arial"/>
          <w:color w:val="000000" w:themeColor="text1"/>
        </w:rPr>
        <w:t xml:space="preserve"> acid stable amylase</w:t>
      </w:r>
      <w:r w:rsidR="008651BF">
        <w:rPr>
          <w:rFonts w:cs="Arial"/>
          <w:color w:val="000000" w:themeColor="text1"/>
        </w:rPr>
        <w:t xml:space="preserve"> </w:t>
      </w:r>
      <w:r w:rsidR="00640C77">
        <w:rPr>
          <w:rFonts w:cs="Arial"/>
          <w:color w:val="000000" w:themeColor="text1"/>
        </w:rPr>
        <w:t>(</w:t>
      </w:r>
      <w:r w:rsidR="00640C77" w:rsidRPr="00640C77">
        <w:rPr>
          <w:rFonts w:cs="Arial"/>
          <w:i/>
          <w:color w:val="000000" w:themeColor="text1"/>
        </w:rPr>
        <w:t>asaA</w:t>
      </w:r>
      <w:r w:rsidR="00640C77">
        <w:rPr>
          <w:rFonts w:cs="Arial"/>
          <w:color w:val="000000" w:themeColor="text1"/>
        </w:rPr>
        <w:t xml:space="preserve">) </w:t>
      </w:r>
      <w:r w:rsidR="008651BF">
        <w:rPr>
          <w:rFonts w:cs="Arial"/>
          <w:color w:val="000000" w:themeColor="text1"/>
        </w:rPr>
        <w:t>gene</w:t>
      </w:r>
      <w:r w:rsidR="002942C5">
        <w:rPr>
          <w:rFonts w:cs="Arial"/>
          <w:color w:val="000000" w:themeColor="text1"/>
        </w:rPr>
        <w:t>, including the native promoter and terminator sequences,</w:t>
      </w:r>
      <w:r w:rsidR="008651BF">
        <w:rPr>
          <w:rFonts w:cs="Arial"/>
          <w:color w:val="000000" w:themeColor="text1"/>
        </w:rPr>
        <w:t xml:space="preserve"> </w:t>
      </w:r>
      <w:r w:rsidR="006D011E">
        <w:rPr>
          <w:rFonts w:cs="Arial"/>
          <w:color w:val="000000" w:themeColor="text1"/>
        </w:rPr>
        <w:t xml:space="preserve">were isolated from the host </w:t>
      </w:r>
      <w:r w:rsidR="006D011E" w:rsidRPr="008651BF">
        <w:rPr>
          <w:rFonts w:cs="Arial"/>
          <w:i/>
          <w:color w:val="000000" w:themeColor="text1"/>
        </w:rPr>
        <w:t>A</w:t>
      </w:r>
      <w:r w:rsidR="00A4525C" w:rsidRPr="003235C3">
        <w:rPr>
          <w:rFonts w:cs="Arial"/>
          <w:color w:val="000000" w:themeColor="text1"/>
        </w:rPr>
        <w:t>.</w:t>
      </w:r>
      <w:r w:rsidR="006D011E" w:rsidRPr="008651BF">
        <w:rPr>
          <w:rFonts w:cs="Arial"/>
          <w:i/>
          <w:color w:val="000000" w:themeColor="text1"/>
        </w:rPr>
        <w:t xml:space="preserve"> niger</w:t>
      </w:r>
      <w:r w:rsidR="006D011E">
        <w:rPr>
          <w:rFonts w:cs="Arial"/>
          <w:color w:val="000000" w:themeColor="text1"/>
        </w:rPr>
        <w:t xml:space="preserve"> strain. O</w:t>
      </w:r>
      <w:r w:rsidR="002942C5">
        <w:rPr>
          <w:rFonts w:cs="Arial"/>
          <w:color w:val="000000" w:themeColor="text1"/>
        </w:rPr>
        <w:t xml:space="preserve">ther </w:t>
      </w:r>
      <w:r w:rsidR="008651BF">
        <w:rPr>
          <w:rFonts w:cs="Arial"/>
          <w:color w:val="000000" w:themeColor="text1"/>
        </w:rPr>
        <w:t>regulatory elements</w:t>
      </w:r>
      <w:r w:rsidR="00640C77">
        <w:rPr>
          <w:rFonts w:cs="Arial"/>
          <w:color w:val="000000" w:themeColor="text1"/>
        </w:rPr>
        <w:t xml:space="preserve"> (promoters and terminator </w:t>
      </w:r>
      <w:r w:rsidR="00451BFF">
        <w:rPr>
          <w:rFonts w:cs="Arial"/>
          <w:color w:val="000000" w:themeColor="text1"/>
        </w:rPr>
        <w:t>sequences</w:t>
      </w:r>
      <w:r w:rsidR="008651BF">
        <w:rPr>
          <w:rFonts w:cs="Arial"/>
          <w:color w:val="000000" w:themeColor="text1"/>
        </w:rPr>
        <w:t xml:space="preserve">) </w:t>
      </w:r>
      <w:r w:rsidR="006D011E">
        <w:rPr>
          <w:rFonts w:cs="Arial"/>
          <w:color w:val="000000" w:themeColor="text1"/>
        </w:rPr>
        <w:t xml:space="preserve">were also isolated from the </w:t>
      </w:r>
      <w:r w:rsidR="006D011E" w:rsidRPr="006D011E">
        <w:rPr>
          <w:rFonts w:cs="Arial"/>
          <w:i/>
          <w:color w:val="000000" w:themeColor="text1"/>
        </w:rPr>
        <w:t>A. niger</w:t>
      </w:r>
      <w:r w:rsidR="006D011E">
        <w:rPr>
          <w:rFonts w:cs="Arial"/>
          <w:color w:val="000000" w:themeColor="text1"/>
        </w:rPr>
        <w:t xml:space="preserve"> host </w:t>
      </w:r>
      <w:r w:rsidR="002942C5">
        <w:rPr>
          <w:rFonts w:cs="Arial"/>
          <w:color w:val="000000" w:themeColor="text1"/>
        </w:rPr>
        <w:t xml:space="preserve">to drive expression of the </w:t>
      </w:r>
      <w:r w:rsidR="00451BFF">
        <w:rPr>
          <w:rFonts w:cs="Arial"/>
          <w:color w:val="000000" w:themeColor="text1"/>
        </w:rPr>
        <w:t>glucoamylase</w:t>
      </w:r>
      <w:r w:rsidR="002942C5">
        <w:rPr>
          <w:rFonts w:cs="Arial"/>
          <w:color w:val="000000" w:themeColor="text1"/>
        </w:rPr>
        <w:t xml:space="preserve"> gene</w:t>
      </w:r>
      <w:r w:rsidR="008651BF">
        <w:rPr>
          <w:rFonts w:cs="Arial"/>
          <w:color w:val="000000" w:themeColor="text1"/>
        </w:rPr>
        <w:t xml:space="preserve">. </w:t>
      </w:r>
      <w:r w:rsidR="00640C77">
        <w:rPr>
          <w:rFonts w:cs="Arial"/>
          <w:color w:val="000000" w:themeColor="text1"/>
        </w:rPr>
        <w:t>The</w:t>
      </w:r>
      <w:r w:rsidR="000E4EBA">
        <w:rPr>
          <w:rFonts w:cs="Arial"/>
          <w:color w:val="000000" w:themeColor="text1"/>
        </w:rPr>
        <w:t xml:space="preserve"> </w:t>
      </w:r>
      <w:r w:rsidR="008B3962">
        <w:rPr>
          <w:rFonts w:cs="Arial"/>
          <w:color w:val="000000" w:themeColor="text1"/>
        </w:rPr>
        <w:t>gene for acetamidase (</w:t>
      </w:r>
      <w:r w:rsidR="008B3962" w:rsidRPr="000A3FCD">
        <w:rPr>
          <w:rFonts w:cs="Arial"/>
          <w:i/>
          <w:color w:val="000000" w:themeColor="text1"/>
        </w:rPr>
        <w:t>amdS</w:t>
      </w:r>
      <w:r w:rsidR="008B3962">
        <w:rPr>
          <w:rFonts w:cs="Arial"/>
          <w:color w:val="000000" w:themeColor="text1"/>
        </w:rPr>
        <w:t xml:space="preserve">), a nutritional </w:t>
      </w:r>
      <w:r w:rsidR="000E4EBA">
        <w:rPr>
          <w:rFonts w:cs="Arial"/>
          <w:color w:val="000000" w:themeColor="text1"/>
        </w:rPr>
        <w:t>select</w:t>
      </w:r>
      <w:r w:rsidR="008B3962">
        <w:rPr>
          <w:rFonts w:cs="Arial"/>
          <w:color w:val="000000" w:themeColor="text1"/>
        </w:rPr>
        <w:t>ion</w:t>
      </w:r>
      <w:r w:rsidR="002942C5">
        <w:rPr>
          <w:rFonts w:cs="Arial"/>
          <w:color w:val="000000" w:themeColor="text1"/>
        </w:rPr>
        <w:t xml:space="preserve"> marker</w:t>
      </w:r>
      <w:r w:rsidR="00640C77">
        <w:rPr>
          <w:rFonts w:cs="Arial"/>
          <w:color w:val="000000" w:themeColor="text1"/>
        </w:rPr>
        <w:t xml:space="preserve">, </w:t>
      </w:r>
      <w:r w:rsidR="006D011E">
        <w:rPr>
          <w:rFonts w:cs="Arial"/>
          <w:color w:val="000000" w:themeColor="text1"/>
        </w:rPr>
        <w:t>including</w:t>
      </w:r>
      <w:r w:rsidR="008B3962">
        <w:rPr>
          <w:rFonts w:cs="Arial"/>
          <w:color w:val="000000" w:themeColor="text1"/>
        </w:rPr>
        <w:t xml:space="preserve"> the</w:t>
      </w:r>
      <w:r w:rsidR="00640C77">
        <w:rPr>
          <w:rFonts w:cs="Arial"/>
          <w:color w:val="000000" w:themeColor="text1"/>
        </w:rPr>
        <w:t xml:space="preserve"> native promoter and terminator sequences, w</w:t>
      </w:r>
      <w:r w:rsidR="002942C5">
        <w:rPr>
          <w:rFonts w:cs="Arial"/>
          <w:color w:val="000000" w:themeColor="text1"/>
        </w:rPr>
        <w:t>as</w:t>
      </w:r>
      <w:r w:rsidR="00640C77">
        <w:rPr>
          <w:rFonts w:cs="Arial"/>
          <w:color w:val="000000" w:themeColor="text1"/>
        </w:rPr>
        <w:t xml:space="preserve"> isolated from </w:t>
      </w:r>
      <w:r w:rsidR="00640C77" w:rsidRPr="00640C77">
        <w:rPr>
          <w:rFonts w:cs="Arial"/>
          <w:i/>
          <w:color w:val="000000" w:themeColor="text1"/>
        </w:rPr>
        <w:t>A. nidulans</w:t>
      </w:r>
      <w:r w:rsidR="00640C77">
        <w:rPr>
          <w:rFonts w:cs="Arial"/>
          <w:color w:val="000000" w:themeColor="text1"/>
        </w:rPr>
        <w:t xml:space="preserve"> </w:t>
      </w:r>
      <w:r w:rsidR="002A77F4">
        <w:rPr>
          <w:rFonts w:cs="Arial"/>
          <w:color w:val="000000" w:themeColor="text1"/>
        </w:rPr>
        <w:t>(</w:t>
      </w:r>
      <w:r w:rsidR="002A77F4" w:rsidRPr="006C25FE">
        <w:rPr>
          <w:rFonts w:cs="Arial"/>
          <w:color w:val="000000" w:themeColor="text1"/>
        </w:rPr>
        <w:t>Kelly and Hynes, 1985</w:t>
      </w:r>
      <w:r w:rsidR="002A77F4">
        <w:rPr>
          <w:rFonts w:cs="Arial"/>
          <w:color w:val="000000" w:themeColor="text1"/>
        </w:rPr>
        <w:t>)</w:t>
      </w:r>
      <w:r w:rsidR="008B3962">
        <w:rPr>
          <w:rFonts w:cs="Arial"/>
          <w:color w:val="000000" w:themeColor="text1"/>
        </w:rPr>
        <w:t>.</w:t>
      </w:r>
      <w:r w:rsidR="002A77F4">
        <w:rPr>
          <w:rFonts w:cs="Arial"/>
          <w:color w:val="000000" w:themeColor="text1"/>
        </w:rPr>
        <w:t xml:space="preserve"> </w:t>
      </w:r>
      <w:r w:rsidR="006D011E">
        <w:rPr>
          <w:rFonts w:cs="Arial"/>
          <w:color w:val="000000" w:themeColor="text1"/>
        </w:rPr>
        <w:t>A</w:t>
      </w:r>
      <w:r w:rsidR="002A77F4">
        <w:rPr>
          <w:rFonts w:cs="Arial"/>
          <w:color w:val="000000" w:themeColor="text1"/>
        </w:rPr>
        <w:t xml:space="preserve">n </w:t>
      </w:r>
      <w:r w:rsidR="002942C5">
        <w:rPr>
          <w:rFonts w:cs="Arial"/>
          <w:color w:val="000000" w:themeColor="text1"/>
        </w:rPr>
        <w:t xml:space="preserve">additional regulatory element (5’UTR) was also used from </w:t>
      </w:r>
      <w:r w:rsidR="002942C5" w:rsidRPr="002942C5">
        <w:rPr>
          <w:rFonts w:cs="Arial"/>
          <w:i/>
          <w:color w:val="000000" w:themeColor="text1"/>
        </w:rPr>
        <w:t>A. nidulans</w:t>
      </w:r>
      <w:r w:rsidR="002942C5" w:rsidRPr="002942C5">
        <w:rPr>
          <w:rFonts w:cs="Arial"/>
          <w:color w:val="000000" w:themeColor="text1"/>
        </w:rPr>
        <w:t xml:space="preserve"> for expression of the </w:t>
      </w:r>
      <w:r w:rsidR="00451BFF" w:rsidRPr="002942C5">
        <w:rPr>
          <w:rFonts w:cs="Arial"/>
          <w:color w:val="000000" w:themeColor="text1"/>
        </w:rPr>
        <w:t>glucoamylase</w:t>
      </w:r>
      <w:r w:rsidR="002942C5" w:rsidRPr="002942C5">
        <w:rPr>
          <w:rFonts w:cs="Arial"/>
          <w:color w:val="000000" w:themeColor="text1"/>
        </w:rPr>
        <w:t xml:space="preserve"> gene</w:t>
      </w:r>
      <w:r w:rsidR="002942C5">
        <w:rPr>
          <w:rFonts w:cs="Arial"/>
          <w:color w:val="000000" w:themeColor="text1"/>
        </w:rPr>
        <w:t xml:space="preserve">. </w:t>
      </w:r>
      <w:r w:rsidR="000E4EBA">
        <w:rPr>
          <w:rFonts w:cs="Arial"/>
          <w:color w:val="000000" w:themeColor="text1"/>
        </w:rPr>
        <w:t>A</w:t>
      </w:r>
      <w:r w:rsidR="002A77F4">
        <w:rPr>
          <w:rFonts w:cs="Arial"/>
          <w:color w:val="000000" w:themeColor="text1"/>
        </w:rPr>
        <w:t xml:space="preserve"> second </w:t>
      </w:r>
      <w:r w:rsidR="000E4EBA">
        <w:rPr>
          <w:rFonts w:cs="Arial"/>
          <w:color w:val="000000" w:themeColor="text1"/>
        </w:rPr>
        <w:t xml:space="preserve">selectable marker </w:t>
      </w:r>
      <w:r w:rsidR="008B3962">
        <w:rPr>
          <w:rFonts w:cs="Arial"/>
          <w:color w:val="000000" w:themeColor="text1"/>
        </w:rPr>
        <w:t>system was generated using the o</w:t>
      </w:r>
      <w:r w:rsidR="008B3962" w:rsidRPr="008B3962">
        <w:rPr>
          <w:rFonts w:cs="Arial"/>
          <w:color w:val="000000" w:themeColor="text1"/>
        </w:rPr>
        <w:t xml:space="preserve">rotidine-5'-phosphate </w:t>
      </w:r>
      <w:r w:rsidR="006D011E">
        <w:rPr>
          <w:rFonts w:cs="Arial"/>
          <w:color w:val="000000" w:themeColor="text1"/>
        </w:rPr>
        <w:t xml:space="preserve">(OMP) </w:t>
      </w:r>
      <w:r w:rsidR="008B3962" w:rsidRPr="008B3962">
        <w:rPr>
          <w:rFonts w:cs="Arial"/>
          <w:color w:val="000000" w:themeColor="text1"/>
        </w:rPr>
        <w:t>decarboxylase</w:t>
      </w:r>
      <w:r w:rsidR="008B3962">
        <w:rPr>
          <w:rFonts w:cs="Arial"/>
          <w:color w:val="000000" w:themeColor="text1"/>
        </w:rPr>
        <w:t xml:space="preserve"> gene</w:t>
      </w:r>
      <w:r w:rsidR="008B3962" w:rsidRPr="008B3962">
        <w:rPr>
          <w:rFonts w:cs="Arial"/>
          <w:color w:val="000000" w:themeColor="text1"/>
        </w:rPr>
        <w:t xml:space="preserve"> </w:t>
      </w:r>
      <w:r w:rsidR="008B3962">
        <w:rPr>
          <w:rFonts w:cs="Arial"/>
          <w:color w:val="000000" w:themeColor="text1"/>
        </w:rPr>
        <w:t>(</w:t>
      </w:r>
      <w:r w:rsidR="008B3962" w:rsidRPr="002811F4">
        <w:rPr>
          <w:rFonts w:cs="Arial"/>
          <w:i/>
          <w:color w:val="000000" w:themeColor="text1"/>
        </w:rPr>
        <w:t>pyrG</w:t>
      </w:r>
      <w:r w:rsidR="008B3962">
        <w:rPr>
          <w:rFonts w:cs="Arial"/>
          <w:color w:val="000000" w:themeColor="text1"/>
        </w:rPr>
        <w:t>)</w:t>
      </w:r>
      <w:r w:rsidR="000E4EBA">
        <w:rPr>
          <w:rFonts w:cs="Arial"/>
          <w:color w:val="000000" w:themeColor="text1"/>
        </w:rPr>
        <w:t xml:space="preserve"> from </w:t>
      </w:r>
      <w:r w:rsidR="000E4EBA" w:rsidRPr="004C4CCD">
        <w:rPr>
          <w:rFonts w:cs="Arial"/>
          <w:i/>
          <w:color w:val="000000" w:themeColor="text1"/>
        </w:rPr>
        <w:t>A. oryzae</w:t>
      </w:r>
      <w:r w:rsidR="002811F4">
        <w:rPr>
          <w:rFonts w:cs="Arial"/>
          <w:i/>
          <w:color w:val="000000" w:themeColor="text1"/>
        </w:rPr>
        <w:t>.</w:t>
      </w:r>
    </w:p>
    <w:p w14:paraId="5579F396" w14:textId="63886EC1" w:rsidR="006D011E" w:rsidRDefault="006D011E" w:rsidP="00CF1E6E">
      <w:pPr>
        <w:spacing w:line="20" w:lineRule="atLeast"/>
        <w:rPr>
          <w:rFonts w:cs="Arial"/>
          <w:color w:val="000000" w:themeColor="text1"/>
        </w:rPr>
      </w:pPr>
    </w:p>
    <w:p w14:paraId="040DBCB5" w14:textId="1E384DBE" w:rsidR="006D011E" w:rsidRDefault="00C77E24" w:rsidP="00CF1E6E">
      <w:pPr>
        <w:spacing w:line="20" w:lineRule="atLeast"/>
        <w:rPr>
          <w:rFonts w:cs="Arial"/>
          <w:color w:val="000000" w:themeColor="text1"/>
        </w:rPr>
      </w:pPr>
      <w:r>
        <w:rPr>
          <w:rFonts w:cs="Arial"/>
          <w:color w:val="000000" w:themeColor="text1"/>
        </w:rPr>
        <w:t xml:space="preserve">The </w:t>
      </w:r>
      <w:r w:rsidRPr="00C77E24">
        <w:rPr>
          <w:rFonts w:cs="Arial"/>
          <w:i/>
          <w:color w:val="000000" w:themeColor="text1"/>
        </w:rPr>
        <w:t>A</w:t>
      </w:r>
      <w:r w:rsidR="006D011E" w:rsidRPr="00C77E24">
        <w:rPr>
          <w:rFonts w:cs="Arial"/>
          <w:i/>
          <w:color w:val="000000" w:themeColor="text1"/>
        </w:rPr>
        <w:t>spergillus</w:t>
      </w:r>
      <w:r w:rsidR="006D011E">
        <w:rPr>
          <w:rFonts w:cs="Arial"/>
          <w:color w:val="000000" w:themeColor="text1"/>
        </w:rPr>
        <w:t xml:space="preserve"> strains used </w:t>
      </w:r>
      <w:r w:rsidR="00023867">
        <w:rPr>
          <w:rFonts w:cs="Arial"/>
          <w:color w:val="000000" w:themeColor="text1"/>
        </w:rPr>
        <w:t xml:space="preserve">to source </w:t>
      </w:r>
      <w:r w:rsidR="00D1572E">
        <w:rPr>
          <w:rFonts w:cs="Arial"/>
          <w:color w:val="000000" w:themeColor="text1"/>
        </w:rPr>
        <w:t xml:space="preserve">the </w:t>
      </w:r>
      <w:r w:rsidR="00023867">
        <w:rPr>
          <w:rFonts w:cs="Arial"/>
          <w:color w:val="000000" w:themeColor="text1"/>
        </w:rPr>
        <w:t>DNA</w:t>
      </w:r>
      <w:r w:rsidR="006D011E">
        <w:rPr>
          <w:rFonts w:cs="Arial"/>
          <w:color w:val="000000" w:themeColor="text1"/>
        </w:rPr>
        <w:t xml:space="preserve"> are </w:t>
      </w:r>
      <w:r w:rsidR="00B703B5">
        <w:rPr>
          <w:rFonts w:cs="Arial"/>
          <w:color w:val="000000" w:themeColor="text1"/>
        </w:rPr>
        <w:t>considered</w:t>
      </w:r>
      <w:r w:rsidR="006D011E">
        <w:rPr>
          <w:rFonts w:cs="Arial"/>
          <w:color w:val="000000" w:themeColor="text1"/>
        </w:rPr>
        <w:t xml:space="preserve"> </w:t>
      </w:r>
      <w:r w:rsidR="00B703B5">
        <w:rPr>
          <w:rFonts w:cs="Arial"/>
          <w:color w:val="000000" w:themeColor="text1"/>
        </w:rPr>
        <w:t>risk group</w:t>
      </w:r>
      <w:r w:rsidR="006D011E">
        <w:rPr>
          <w:rFonts w:cs="Arial"/>
          <w:color w:val="000000" w:themeColor="text1"/>
        </w:rPr>
        <w:t xml:space="preserve"> 1 </w:t>
      </w:r>
      <w:r w:rsidR="003235C3">
        <w:rPr>
          <w:rFonts w:cs="Arial"/>
          <w:color w:val="000000" w:themeColor="text1"/>
        </w:rPr>
        <w:t xml:space="preserve">agents </w:t>
      </w:r>
      <w:r w:rsidR="00537C7B">
        <w:rPr>
          <w:rFonts w:cs="Arial"/>
          <w:color w:val="000000" w:themeColor="text1"/>
        </w:rPr>
        <w:t>according to the</w:t>
      </w:r>
      <w:r w:rsidR="00B703B5">
        <w:rPr>
          <w:rFonts w:cs="Arial"/>
          <w:color w:val="000000" w:themeColor="text1"/>
        </w:rPr>
        <w:t xml:space="preserve"> NIH Guidelines</w:t>
      </w:r>
      <w:r w:rsidR="009E340B">
        <w:rPr>
          <w:rFonts w:cs="Arial"/>
          <w:color w:val="000000" w:themeColor="text1"/>
          <w:vertAlign w:val="superscript"/>
        </w:rPr>
        <w:t>4</w:t>
      </w:r>
      <w:r w:rsidR="006D011E">
        <w:rPr>
          <w:rFonts w:cs="Arial"/>
          <w:color w:val="000000" w:themeColor="text1"/>
        </w:rPr>
        <w:t>.</w:t>
      </w:r>
    </w:p>
    <w:p w14:paraId="59709545" w14:textId="392A4E77" w:rsidR="00CA3849" w:rsidRPr="00D67005" w:rsidRDefault="00CA3849" w:rsidP="00BD59CB">
      <w:pPr>
        <w:pStyle w:val="Heading2"/>
      </w:pPr>
      <w:bookmarkStart w:id="37" w:name="_Toc499282443"/>
      <w:bookmarkStart w:id="38" w:name="_Toc505255640"/>
      <w:bookmarkStart w:id="39" w:name="_Toc5629736"/>
      <w:r>
        <w:t>3.3</w:t>
      </w:r>
      <w:r w:rsidR="001E6A7B">
        <w:tab/>
      </w:r>
      <w:r>
        <w:t>Characterisation of the genetic modification(s)</w:t>
      </w:r>
      <w:bookmarkEnd w:id="37"/>
      <w:bookmarkEnd w:id="38"/>
      <w:bookmarkEnd w:id="39"/>
    </w:p>
    <w:p w14:paraId="4F1B6BFB" w14:textId="388FC880" w:rsidR="00CA3849" w:rsidRDefault="00CA3849">
      <w:pPr>
        <w:pStyle w:val="Heading3"/>
      </w:pPr>
      <w:bookmarkStart w:id="40" w:name="_Toc498940971"/>
      <w:bookmarkStart w:id="41" w:name="_Toc499282444"/>
      <w:bookmarkStart w:id="42" w:name="_Toc5629737"/>
      <w:r>
        <w:t>3.3.1</w:t>
      </w:r>
      <w:r w:rsidR="0035149D">
        <w:tab/>
      </w:r>
      <w:r>
        <w:t>Description of DNA to be introduced and method of transformation</w:t>
      </w:r>
      <w:bookmarkEnd w:id="40"/>
      <w:bookmarkEnd w:id="41"/>
      <w:bookmarkEnd w:id="42"/>
      <w:r>
        <w:t xml:space="preserve"> </w:t>
      </w:r>
    </w:p>
    <w:p w14:paraId="53C09CDA" w14:textId="68C2AB7A" w:rsidR="00102AFE" w:rsidRDefault="00102AFE" w:rsidP="00B703B5">
      <w:pPr>
        <w:rPr>
          <w:rFonts w:cs="Arial"/>
          <w:color w:val="000000" w:themeColor="text1"/>
        </w:rPr>
      </w:pPr>
      <w:r>
        <w:rPr>
          <w:lang w:eastAsia="en-AU" w:bidi="ar-SA"/>
        </w:rPr>
        <w:t>Two vectors</w:t>
      </w:r>
      <w:r w:rsidR="003C1F1D">
        <w:rPr>
          <w:lang w:eastAsia="en-AU" w:bidi="ar-SA"/>
        </w:rPr>
        <w:t xml:space="preserve"> designated A and B were generated,</w:t>
      </w:r>
      <w:r>
        <w:rPr>
          <w:lang w:eastAsia="en-AU" w:bidi="ar-SA"/>
        </w:rPr>
        <w:t xml:space="preserve"> </w:t>
      </w:r>
      <w:r w:rsidR="005C552F">
        <w:rPr>
          <w:lang w:eastAsia="en-AU" w:bidi="ar-SA"/>
        </w:rPr>
        <w:t xml:space="preserve">each </w:t>
      </w:r>
      <w:r>
        <w:rPr>
          <w:lang w:eastAsia="en-AU" w:bidi="ar-SA"/>
        </w:rPr>
        <w:t>containing unique</w:t>
      </w:r>
      <w:r w:rsidR="0037210D">
        <w:rPr>
          <w:lang w:eastAsia="en-AU" w:bidi="ar-SA"/>
        </w:rPr>
        <w:t xml:space="preserve"> </w:t>
      </w:r>
      <w:r w:rsidR="0037210D">
        <w:rPr>
          <w:rFonts w:cs="Arial"/>
          <w:color w:val="000000" w:themeColor="text1"/>
        </w:rPr>
        <w:t>glucoamylase</w:t>
      </w:r>
      <w:r>
        <w:rPr>
          <w:lang w:eastAsia="en-AU" w:bidi="ar-SA"/>
        </w:rPr>
        <w:t xml:space="preserve"> </w:t>
      </w:r>
      <w:r w:rsidR="0037210D">
        <w:rPr>
          <w:lang w:eastAsia="en-AU" w:bidi="ar-SA"/>
        </w:rPr>
        <w:t>(</w:t>
      </w:r>
      <w:r w:rsidRPr="00102AFE">
        <w:rPr>
          <w:i/>
          <w:lang w:eastAsia="en-AU" w:bidi="ar-SA"/>
        </w:rPr>
        <w:t>amgGT</w:t>
      </w:r>
      <w:r w:rsidR="0037210D" w:rsidRPr="0037210D">
        <w:rPr>
          <w:lang w:eastAsia="en-AU" w:bidi="ar-SA"/>
        </w:rPr>
        <w:t>)</w:t>
      </w:r>
      <w:r>
        <w:rPr>
          <w:lang w:eastAsia="en-AU" w:bidi="ar-SA"/>
        </w:rPr>
        <w:t xml:space="preserve"> expression cassettes </w:t>
      </w:r>
      <w:r w:rsidR="009C5D04">
        <w:rPr>
          <w:lang w:eastAsia="en-AU" w:bidi="ar-SA"/>
        </w:rPr>
        <w:t xml:space="preserve">(Figure </w:t>
      </w:r>
      <w:r w:rsidR="009E340B">
        <w:rPr>
          <w:lang w:eastAsia="en-AU" w:bidi="ar-SA"/>
        </w:rPr>
        <w:t>2</w:t>
      </w:r>
      <w:r w:rsidR="009C5D04">
        <w:rPr>
          <w:lang w:eastAsia="en-AU" w:bidi="ar-SA"/>
        </w:rPr>
        <w:t>)</w:t>
      </w:r>
      <w:r>
        <w:rPr>
          <w:lang w:eastAsia="en-AU" w:bidi="ar-SA"/>
        </w:rPr>
        <w:t xml:space="preserve">. </w:t>
      </w:r>
      <w:r w:rsidR="0069360D">
        <w:rPr>
          <w:lang w:eastAsia="en-AU" w:bidi="ar-SA"/>
        </w:rPr>
        <w:t>The e</w:t>
      </w:r>
      <w:r w:rsidR="00577FE1">
        <w:rPr>
          <w:lang w:eastAsia="en-AU" w:bidi="ar-SA"/>
        </w:rPr>
        <w:t>xpression cassette</w:t>
      </w:r>
      <w:r w:rsidR="001F3D7E">
        <w:rPr>
          <w:lang w:eastAsia="en-AU" w:bidi="ar-SA"/>
        </w:rPr>
        <w:t xml:space="preserve"> </w:t>
      </w:r>
      <w:r w:rsidR="0069360D">
        <w:rPr>
          <w:lang w:eastAsia="en-AU" w:bidi="ar-SA"/>
        </w:rPr>
        <w:t xml:space="preserve">from vector </w:t>
      </w:r>
      <w:r w:rsidR="001F3D7E">
        <w:rPr>
          <w:lang w:eastAsia="en-AU" w:bidi="ar-SA"/>
        </w:rPr>
        <w:t>A</w:t>
      </w:r>
      <w:r w:rsidR="00577FE1">
        <w:rPr>
          <w:lang w:eastAsia="en-AU" w:bidi="ar-SA"/>
        </w:rPr>
        <w:t xml:space="preserve"> </w:t>
      </w:r>
      <w:r w:rsidR="003C1F1D">
        <w:rPr>
          <w:lang w:eastAsia="en-AU" w:bidi="ar-SA"/>
        </w:rPr>
        <w:t>contain</w:t>
      </w:r>
      <w:r w:rsidR="0069360D">
        <w:rPr>
          <w:lang w:eastAsia="en-AU" w:bidi="ar-SA"/>
        </w:rPr>
        <w:t>ed</w:t>
      </w:r>
      <w:r w:rsidR="00577FE1">
        <w:rPr>
          <w:lang w:eastAsia="en-AU" w:bidi="ar-SA"/>
        </w:rPr>
        <w:t xml:space="preserve"> the </w:t>
      </w:r>
      <w:r w:rsidR="00577FE1" w:rsidRPr="00577FE1">
        <w:rPr>
          <w:i/>
          <w:lang w:eastAsia="en-AU" w:bidi="ar-SA"/>
        </w:rPr>
        <w:t>amgGT</w:t>
      </w:r>
      <w:r w:rsidR="00577FE1">
        <w:rPr>
          <w:lang w:eastAsia="en-AU" w:bidi="ar-SA"/>
        </w:rPr>
        <w:t xml:space="preserve"> gene followed by a copy of the endogenous</w:t>
      </w:r>
      <w:r w:rsidR="00872C63">
        <w:rPr>
          <w:lang w:eastAsia="en-AU" w:bidi="ar-SA"/>
        </w:rPr>
        <w:t xml:space="preserve"> </w:t>
      </w:r>
      <w:r w:rsidR="00872C63">
        <w:rPr>
          <w:rFonts w:cs="Arial"/>
          <w:color w:val="000000" w:themeColor="text1"/>
        </w:rPr>
        <w:t>acid stable amylase</w:t>
      </w:r>
      <w:r w:rsidR="00577FE1">
        <w:rPr>
          <w:lang w:eastAsia="en-AU" w:bidi="ar-SA"/>
        </w:rPr>
        <w:t xml:space="preserve"> </w:t>
      </w:r>
      <w:r w:rsidR="00872C63">
        <w:rPr>
          <w:lang w:eastAsia="en-AU" w:bidi="ar-SA"/>
        </w:rPr>
        <w:t>(</w:t>
      </w:r>
      <w:r w:rsidR="00577FE1" w:rsidRPr="00577FE1">
        <w:rPr>
          <w:i/>
          <w:lang w:eastAsia="en-AU" w:bidi="ar-SA"/>
        </w:rPr>
        <w:t>asaA</w:t>
      </w:r>
      <w:r w:rsidR="00872C63">
        <w:rPr>
          <w:i/>
          <w:lang w:eastAsia="en-AU" w:bidi="ar-SA"/>
        </w:rPr>
        <w:t>)</w:t>
      </w:r>
      <w:r w:rsidR="00577FE1">
        <w:rPr>
          <w:lang w:eastAsia="en-AU" w:bidi="ar-SA"/>
        </w:rPr>
        <w:t xml:space="preserve"> gene and </w:t>
      </w:r>
      <w:r w:rsidR="00C076F6">
        <w:rPr>
          <w:lang w:eastAsia="en-AU" w:bidi="ar-SA"/>
        </w:rPr>
        <w:t>a copy of the</w:t>
      </w:r>
      <w:r w:rsidR="00577FE1">
        <w:rPr>
          <w:lang w:eastAsia="en-AU" w:bidi="ar-SA"/>
        </w:rPr>
        <w:t xml:space="preserve"> selectable marker gene</w:t>
      </w:r>
      <w:r w:rsidR="00872C63">
        <w:rPr>
          <w:lang w:eastAsia="en-AU" w:bidi="ar-SA"/>
        </w:rPr>
        <w:t xml:space="preserve"> for </w:t>
      </w:r>
      <w:r w:rsidR="00872C63">
        <w:rPr>
          <w:rFonts w:cs="Arial"/>
          <w:color w:val="000000" w:themeColor="text1"/>
        </w:rPr>
        <w:t>acetamidase</w:t>
      </w:r>
      <w:r w:rsidR="00577FE1">
        <w:rPr>
          <w:lang w:eastAsia="en-AU" w:bidi="ar-SA"/>
        </w:rPr>
        <w:t xml:space="preserve"> </w:t>
      </w:r>
      <w:r w:rsidR="00872C63">
        <w:rPr>
          <w:lang w:eastAsia="en-AU" w:bidi="ar-SA"/>
        </w:rPr>
        <w:t>(</w:t>
      </w:r>
      <w:r w:rsidR="00577FE1" w:rsidRPr="00577FE1">
        <w:rPr>
          <w:i/>
          <w:lang w:eastAsia="en-AU" w:bidi="ar-SA"/>
        </w:rPr>
        <w:t>amdS</w:t>
      </w:r>
      <w:r w:rsidR="00872C63">
        <w:rPr>
          <w:i/>
          <w:lang w:eastAsia="en-AU" w:bidi="ar-SA"/>
        </w:rPr>
        <w:t>)</w:t>
      </w:r>
      <w:r w:rsidR="00577FE1">
        <w:rPr>
          <w:lang w:eastAsia="en-AU" w:bidi="ar-SA"/>
        </w:rPr>
        <w:t>.</w:t>
      </w:r>
      <w:r w:rsidR="0069360D">
        <w:rPr>
          <w:lang w:eastAsia="en-AU" w:bidi="ar-SA"/>
        </w:rPr>
        <w:t xml:space="preserve"> </w:t>
      </w:r>
      <w:r w:rsidR="0037210D">
        <w:rPr>
          <w:lang w:eastAsia="en-AU" w:bidi="ar-SA"/>
        </w:rPr>
        <w:t>The presence of the acetamidase allows for selection of</w:t>
      </w:r>
      <w:r w:rsidR="00A35EC6">
        <w:rPr>
          <w:lang w:eastAsia="en-AU" w:bidi="ar-SA"/>
        </w:rPr>
        <w:t xml:space="preserve"> positive transformants </w:t>
      </w:r>
      <w:r w:rsidR="00E4237E">
        <w:rPr>
          <w:lang w:eastAsia="en-AU" w:bidi="ar-SA"/>
        </w:rPr>
        <w:t>by growth on media containing</w:t>
      </w:r>
      <w:r w:rsidR="00A35EC6">
        <w:rPr>
          <w:lang w:eastAsia="en-AU" w:bidi="ar-SA"/>
        </w:rPr>
        <w:t xml:space="preserve"> acetamide. </w:t>
      </w:r>
      <w:r w:rsidR="0069360D">
        <w:rPr>
          <w:lang w:eastAsia="en-AU" w:bidi="ar-SA"/>
        </w:rPr>
        <w:t>The e</w:t>
      </w:r>
      <w:r w:rsidR="00265D02">
        <w:rPr>
          <w:lang w:eastAsia="en-AU" w:bidi="ar-SA"/>
        </w:rPr>
        <w:t>xpression cassette</w:t>
      </w:r>
      <w:r w:rsidR="0069360D">
        <w:rPr>
          <w:lang w:eastAsia="en-AU" w:bidi="ar-SA"/>
        </w:rPr>
        <w:t xml:space="preserve"> from vector</w:t>
      </w:r>
      <w:r w:rsidR="00265D02">
        <w:rPr>
          <w:lang w:eastAsia="en-AU" w:bidi="ar-SA"/>
        </w:rPr>
        <w:t xml:space="preserve"> B </w:t>
      </w:r>
      <w:r w:rsidR="002811F4">
        <w:rPr>
          <w:lang w:eastAsia="en-AU" w:bidi="ar-SA"/>
        </w:rPr>
        <w:t xml:space="preserve">contained </w:t>
      </w:r>
      <w:r w:rsidR="00265D02">
        <w:rPr>
          <w:lang w:eastAsia="en-AU" w:bidi="ar-SA"/>
        </w:rPr>
        <w:t xml:space="preserve">the </w:t>
      </w:r>
      <w:r w:rsidR="00265D02" w:rsidRPr="00B949F0">
        <w:rPr>
          <w:i/>
          <w:lang w:eastAsia="en-AU" w:bidi="ar-SA"/>
        </w:rPr>
        <w:t>amgGT</w:t>
      </w:r>
      <w:r w:rsidR="00265D02">
        <w:rPr>
          <w:lang w:eastAsia="en-AU" w:bidi="ar-SA"/>
        </w:rPr>
        <w:t xml:space="preserve"> gene </w:t>
      </w:r>
      <w:r w:rsidR="002811F4">
        <w:rPr>
          <w:lang w:eastAsia="en-AU" w:bidi="ar-SA"/>
        </w:rPr>
        <w:t>followed</w:t>
      </w:r>
      <w:r w:rsidR="00B949F0">
        <w:rPr>
          <w:lang w:eastAsia="en-AU" w:bidi="ar-SA"/>
        </w:rPr>
        <w:t xml:space="preserve"> by </w:t>
      </w:r>
      <w:r w:rsidR="00265D02">
        <w:rPr>
          <w:lang w:eastAsia="en-AU" w:bidi="ar-SA"/>
        </w:rPr>
        <w:t xml:space="preserve">the selectable marker </w:t>
      </w:r>
      <w:r w:rsidR="0037210D" w:rsidRPr="008B3962">
        <w:rPr>
          <w:rFonts w:cs="Arial"/>
          <w:color w:val="000000" w:themeColor="text1"/>
        </w:rPr>
        <w:t>decarboxylase</w:t>
      </w:r>
      <w:r w:rsidR="0037210D">
        <w:rPr>
          <w:lang w:eastAsia="en-AU" w:bidi="ar-SA"/>
        </w:rPr>
        <w:t xml:space="preserve"> </w:t>
      </w:r>
      <w:r w:rsidR="00265D02">
        <w:rPr>
          <w:lang w:eastAsia="en-AU" w:bidi="ar-SA"/>
        </w:rPr>
        <w:t xml:space="preserve">gene </w:t>
      </w:r>
      <w:r w:rsidR="0037210D">
        <w:rPr>
          <w:lang w:eastAsia="en-AU" w:bidi="ar-SA"/>
        </w:rPr>
        <w:t>(</w:t>
      </w:r>
      <w:r w:rsidR="00872C63">
        <w:rPr>
          <w:i/>
          <w:lang w:eastAsia="en-AU" w:bidi="ar-SA"/>
        </w:rPr>
        <w:t>p</w:t>
      </w:r>
      <w:r w:rsidR="00265D02" w:rsidRPr="00B949F0">
        <w:rPr>
          <w:i/>
          <w:lang w:eastAsia="en-AU" w:bidi="ar-SA"/>
        </w:rPr>
        <w:t>yrG</w:t>
      </w:r>
      <w:r w:rsidR="0037210D" w:rsidRPr="0037210D">
        <w:rPr>
          <w:lang w:eastAsia="en-AU" w:bidi="ar-SA"/>
        </w:rPr>
        <w:t>)</w:t>
      </w:r>
      <w:r w:rsidR="00265D02" w:rsidRPr="0037210D">
        <w:rPr>
          <w:lang w:eastAsia="en-AU" w:bidi="ar-SA"/>
        </w:rPr>
        <w:t>.</w:t>
      </w:r>
      <w:r w:rsidR="00265D02">
        <w:rPr>
          <w:lang w:eastAsia="en-AU" w:bidi="ar-SA"/>
        </w:rPr>
        <w:t xml:space="preserve"> </w:t>
      </w:r>
      <w:r w:rsidR="0037210D">
        <w:rPr>
          <w:lang w:eastAsia="en-AU" w:bidi="ar-SA"/>
        </w:rPr>
        <w:t xml:space="preserve">When transformed into a </w:t>
      </w:r>
      <w:r w:rsidR="0037210D" w:rsidRPr="0037210D">
        <w:rPr>
          <w:i/>
          <w:lang w:eastAsia="en-AU" w:bidi="ar-SA"/>
        </w:rPr>
        <w:t>pyrG</w:t>
      </w:r>
      <w:r w:rsidR="0037210D" w:rsidRPr="0037210D">
        <w:rPr>
          <w:i/>
          <w:vertAlign w:val="superscript"/>
          <w:lang w:eastAsia="en-AU" w:bidi="ar-SA"/>
        </w:rPr>
        <w:t>-</w:t>
      </w:r>
      <w:r w:rsidR="0037210D">
        <w:rPr>
          <w:lang w:eastAsia="en-AU" w:bidi="ar-SA"/>
        </w:rPr>
        <w:t xml:space="preserve"> strain, the decarboxylase allows transformed cells to produce the essential nutrient uridine</w:t>
      </w:r>
      <w:r w:rsidR="00F17143">
        <w:rPr>
          <w:lang w:eastAsia="en-AU" w:bidi="ar-SA"/>
        </w:rPr>
        <w:t>,</w:t>
      </w:r>
      <w:r w:rsidR="0037210D">
        <w:rPr>
          <w:lang w:eastAsia="en-AU" w:bidi="ar-SA"/>
        </w:rPr>
        <w:t xml:space="preserve"> </w:t>
      </w:r>
      <w:r w:rsidR="00F17143">
        <w:rPr>
          <w:lang w:eastAsia="en-AU" w:bidi="ar-SA"/>
        </w:rPr>
        <w:t>thus allowing survival</w:t>
      </w:r>
      <w:r w:rsidR="0037210D">
        <w:rPr>
          <w:lang w:eastAsia="en-AU" w:bidi="ar-SA"/>
        </w:rPr>
        <w:t xml:space="preserve"> on</w:t>
      </w:r>
      <w:r w:rsidR="00A35EC6">
        <w:rPr>
          <w:lang w:eastAsia="en-AU" w:bidi="ar-SA"/>
        </w:rPr>
        <w:t xml:space="preserve"> minimal media without uridine. </w:t>
      </w:r>
    </w:p>
    <w:p w14:paraId="64DD6966" w14:textId="77777777" w:rsidR="000A62C3" w:rsidRDefault="000A62C3" w:rsidP="00B703B5">
      <w:pPr>
        <w:rPr>
          <w:lang w:eastAsia="en-AU" w:bidi="ar-SA"/>
        </w:rPr>
      </w:pPr>
    </w:p>
    <w:p w14:paraId="46371B0B" w14:textId="62A71EE1" w:rsidR="0069360D" w:rsidRDefault="0069360D" w:rsidP="00B703B5">
      <w:pPr>
        <w:rPr>
          <w:lang w:eastAsia="en-AU" w:bidi="ar-SA"/>
        </w:rPr>
      </w:pPr>
      <w:r w:rsidRPr="0069360D">
        <w:rPr>
          <w:noProof/>
          <w:lang w:eastAsia="en-GB" w:bidi="ar-SA"/>
        </w:rPr>
        <mc:AlternateContent>
          <mc:Choice Requires="wps">
            <w:drawing>
              <wp:anchor distT="45720" distB="45720" distL="114300" distR="114300" simplePos="0" relativeHeight="251658242" behindDoc="0" locked="0" layoutInCell="1" allowOverlap="1" wp14:anchorId="6E31B45B" wp14:editId="12A67862">
                <wp:simplePos x="0" y="0"/>
                <wp:positionH relativeFrom="column">
                  <wp:posOffset>41275</wp:posOffset>
                </wp:positionH>
                <wp:positionV relativeFrom="paragraph">
                  <wp:posOffset>53604</wp:posOffset>
                </wp:positionV>
                <wp:extent cx="3432810" cy="310515"/>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310515"/>
                        </a:xfrm>
                        <a:prstGeom prst="rect">
                          <a:avLst/>
                        </a:prstGeom>
                        <a:noFill/>
                        <a:ln w="9525">
                          <a:noFill/>
                          <a:miter lim="800000"/>
                          <a:headEnd/>
                          <a:tailEnd/>
                        </a:ln>
                      </wps:spPr>
                      <wps:txbx>
                        <w:txbxContent>
                          <w:p w14:paraId="0D77FA83" w14:textId="47B1962A" w:rsidR="003B0180" w:rsidRPr="0069360D" w:rsidRDefault="003B0180" w:rsidP="0069360D">
                            <w:pPr>
                              <w:rPr>
                                <w:b/>
                              </w:rPr>
                            </w:pPr>
                            <w:r w:rsidRPr="0069360D">
                              <w:rPr>
                                <w:b/>
                                <w:i/>
                              </w:rPr>
                              <w:t>amgGT</w:t>
                            </w:r>
                            <w:r>
                              <w:rPr>
                                <w:b/>
                              </w:rPr>
                              <w:t xml:space="preserve"> e</w:t>
                            </w:r>
                            <w:r w:rsidRPr="0069360D">
                              <w:rPr>
                                <w:b/>
                              </w:rPr>
                              <w:t>xpression cassette</w:t>
                            </w:r>
                            <w:r>
                              <w:rPr>
                                <w:b/>
                              </w:rPr>
                              <w:t xml:space="preserve"> A</w:t>
                            </w:r>
                            <w:r w:rsidRPr="0069360D">
                              <w:rPr>
                                <w:b/>
                              </w:rPr>
                              <w:t xml:space="preserve"> from vector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1B45B" id="_x0000_t202" coordsize="21600,21600" o:spt="202" path="m,l,21600r21600,l21600,xe">
                <v:stroke joinstyle="miter"/>
                <v:path gradientshapeok="t" o:connecttype="rect"/>
              </v:shapetype>
              <v:shape id="Text Box 2" o:spid="_x0000_s1026" type="#_x0000_t202" style="position:absolute;margin-left:3.25pt;margin-top:4.2pt;width:270.3pt;height:24.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" filled="f" stroked="f">
                <v:textbox>
                  <w:txbxContent>
                    <w:p w14:paraId="0D77FA83" w14:textId="47B1962A" w:rsidR="003B0180" w:rsidRPr="0069360D" w:rsidRDefault="003B0180" w:rsidP="0069360D">
                      <w:pPr>
                        <w:rPr>
                          <w:b/>
                        </w:rPr>
                      </w:pPr>
                      <w:r w:rsidRPr="0069360D">
                        <w:rPr>
                          <w:b/>
                          <w:i/>
                        </w:rPr>
                        <w:t>amgGT</w:t>
                      </w:r>
                      <w:r>
                        <w:rPr>
                          <w:b/>
                        </w:rPr>
                        <w:t xml:space="preserve"> e</w:t>
                      </w:r>
                      <w:r w:rsidRPr="0069360D">
                        <w:rPr>
                          <w:b/>
                        </w:rPr>
                        <w:t>xpression cassette</w:t>
                      </w:r>
                      <w:r>
                        <w:rPr>
                          <w:b/>
                        </w:rPr>
                        <w:t xml:space="preserve"> A</w:t>
                      </w:r>
                      <w:r w:rsidRPr="0069360D">
                        <w:rPr>
                          <w:b/>
                        </w:rPr>
                        <w:t xml:space="preserve"> from vector A</w:t>
                      </w:r>
                    </w:p>
                  </w:txbxContent>
                </v:textbox>
                <w10:wrap type="square"/>
              </v:shape>
            </w:pict>
          </mc:Fallback>
        </mc:AlternateContent>
      </w:r>
    </w:p>
    <w:p w14:paraId="4C6C3A37" w14:textId="04DA5F2B" w:rsidR="0069360D" w:rsidRDefault="0069360D" w:rsidP="00B703B5">
      <w:pPr>
        <w:rPr>
          <w:lang w:eastAsia="en-AU" w:bidi="ar-SA"/>
        </w:rPr>
      </w:pPr>
    </w:p>
    <w:p w14:paraId="6DFFAD58" w14:textId="4F386723" w:rsidR="009C5D04" w:rsidRDefault="00B949F0" w:rsidP="00B703B5">
      <w:pPr>
        <w:rPr>
          <w:lang w:eastAsia="en-AU" w:bidi="ar-SA"/>
        </w:rPr>
      </w:pPr>
      <w:r>
        <w:rPr>
          <w:noProof/>
          <w:lang w:eastAsia="en-GB" w:bidi="ar-SA"/>
        </w:rPr>
        <mc:AlternateContent>
          <mc:Choice Requires="wpg">
            <w:drawing>
              <wp:anchor distT="0" distB="0" distL="114300" distR="114300" simplePos="0" relativeHeight="251658241" behindDoc="0" locked="0" layoutInCell="1" allowOverlap="1" wp14:anchorId="41D98C78" wp14:editId="17650EB6">
                <wp:simplePos x="0" y="0"/>
                <wp:positionH relativeFrom="column">
                  <wp:posOffset>56515</wp:posOffset>
                </wp:positionH>
                <wp:positionV relativeFrom="paragraph">
                  <wp:posOffset>37465</wp:posOffset>
                </wp:positionV>
                <wp:extent cx="5688000" cy="311785"/>
                <wp:effectExtent l="0" t="0" r="27305" b="12065"/>
                <wp:wrapNone/>
                <wp:docPr id="14" name="Group 14"/>
                <wp:cNvGraphicFramePr/>
                <a:graphic xmlns:a="http://schemas.openxmlformats.org/drawingml/2006/main">
                  <a:graphicData uri="http://schemas.microsoft.com/office/word/2010/wordprocessingGroup">
                    <wpg:wgp>
                      <wpg:cNvGrpSpPr/>
                      <wpg:grpSpPr>
                        <a:xfrm>
                          <a:off x="0" y="0"/>
                          <a:ext cx="5688000" cy="311785"/>
                          <a:chOff x="8626" y="-52009"/>
                          <a:chExt cx="5688199" cy="312023"/>
                        </a:xfrm>
                      </wpg:grpSpPr>
                      <wps:wsp>
                        <wps:cNvPr id="2" name="Straight Connector 2"/>
                        <wps:cNvCnPr/>
                        <wps:spPr>
                          <a:xfrm flipV="1">
                            <a:off x="8626" y="99674"/>
                            <a:ext cx="5688199"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 name="Pentagon 5"/>
                        <wps:cNvSpPr/>
                        <wps:spPr>
                          <a:xfrm>
                            <a:off x="70897" y="-47674"/>
                            <a:ext cx="1764000" cy="306721"/>
                          </a:xfrm>
                          <a:prstGeom prst="homePlate">
                            <a:avLst/>
                          </a:prstGeom>
                          <a:solidFill>
                            <a:schemeClr val="accent6">
                              <a:lumMod val="60000"/>
                              <a:lumOff val="40000"/>
                            </a:schemeClr>
                          </a:solidFill>
                          <a:ln>
                            <a:solidFill>
                              <a:schemeClr val="accent6">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41871946" w14:textId="24751357" w:rsidR="003B0180" w:rsidRPr="00B949F0" w:rsidRDefault="003B0180" w:rsidP="00CC00DD">
                              <w:pPr>
                                <w:jc w:val="center"/>
                                <w:rPr>
                                  <w:b/>
                                  <w:i/>
                                  <w:sz w:val="20"/>
                                </w:rPr>
                              </w:pPr>
                              <w:r w:rsidRPr="00B949F0">
                                <w:rPr>
                                  <w:b/>
                                  <w:i/>
                                  <w:sz w:val="20"/>
                                </w:rPr>
                                <w:t>amgGT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entagon 7"/>
                        <wps:cNvSpPr/>
                        <wps:spPr>
                          <a:xfrm>
                            <a:off x="1889372" y="-47675"/>
                            <a:ext cx="1933200" cy="307689"/>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C332BC" w14:textId="616F3A77" w:rsidR="003B0180" w:rsidRPr="00B949F0" w:rsidRDefault="003B0180" w:rsidP="00B949F0">
                              <w:pPr>
                                <w:jc w:val="center"/>
                                <w:rPr>
                                  <w:b/>
                                  <w:i/>
                                  <w:sz w:val="20"/>
                                </w:rPr>
                              </w:pPr>
                              <w:r w:rsidRPr="00B949F0">
                                <w:rPr>
                                  <w:b/>
                                  <w:i/>
                                  <w:sz w:val="20"/>
                                </w:rPr>
                                <w:t>asaA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entagon 13"/>
                        <wps:cNvSpPr/>
                        <wps:spPr>
                          <a:xfrm flipH="1">
                            <a:off x="4208524" y="-52009"/>
                            <a:ext cx="1436450" cy="307689"/>
                          </a:xfrm>
                          <a:prstGeom prst="homePlat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0E46946" w14:textId="5341EB9C" w:rsidR="003B0180" w:rsidRPr="00B949F0" w:rsidRDefault="003B0180" w:rsidP="00B949F0">
                              <w:pPr>
                                <w:jc w:val="center"/>
                                <w:rPr>
                                  <w:b/>
                                  <w:i/>
                                  <w:sz w:val="20"/>
                                </w:rPr>
                              </w:pPr>
                              <w:r w:rsidRPr="00B949F0">
                                <w:rPr>
                                  <w:b/>
                                  <w:i/>
                                  <w:sz w:val="20"/>
                                </w:rPr>
                                <w:t>amdS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1D98C78" id="Group 14" o:spid="_x0000_s1027" style="position:absolute;margin-left:4.45pt;margin-top:2.95pt;width:447.85pt;height:24.55pt;z-index:251658241;mso-width-relative:margin" coordorigin="86,-520" coordsize="5688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">
                <v:line id="Straight Connector 2" o:spid="_x0000_s1028" style="position:absolute;flip:y;visibility:visible;mso-wrap-style:square" from="86,996" to="5696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" strokecolor="black [3040]" strokeweight="1.5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29" type="#_x0000_t15" style="position:absolute;left:708;top:-476;width:17640;height:3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" adj="19722" fillcolor="#fabf8f [1945]" strokecolor="#e36c0a [2409]" strokeweight="2pt">
                  <v:textbox>
                    <w:txbxContent>
                      <w:p w14:paraId="41871946" w14:textId="24751357" w:rsidR="003B0180" w:rsidRPr="00B949F0" w:rsidRDefault="003B0180" w:rsidP="00CC00DD">
                        <w:pPr>
                          <w:jc w:val="center"/>
                          <w:rPr>
                            <w:b/>
                            <w:i/>
                            <w:sz w:val="20"/>
                          </w:rPr>
                        </w:pPr>
                        <w:r w:rsidRPr="00B949F0">
                          <w:rPr>
                            <w:b/>
                            <w:i/>
                            <w:sz w:val="20"/>
                          </w:rPr>
                          <w:t>amgGT</w:t>
                        </w:r>
                      </w:p>
                    </w:txbxContent>
                  </v:textbox>
                </v:shape>
                <v:shape id="Pentagon 7" o:spid="_x0000_s1030" type="#_x0000_t15" style="position:absolute;left:18893;top:-476;width:19332;height:3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" adj="19881" fillcolor="#4f81bd [3204]" strokecolor="#243f60 [1604]" strokeweight="2pt">
                  <v:textbox>
                    <w:txbxContent>
                      <w:p w14:paraId="5EC332BC" w14:textId="616F3A77" w:rsidR="003B0180" w:rsidRPr="00B949F0" w:rsidRDefault="003B0180" w:rsidP="00B949F0">
                        <w:pPr>
                          <w:jc w:val="center"/>
                          <w:rPr>
                            <w:b/>
                            <w:i/>
                            <w:sz w:val="20"/>
                          </w:rPr>
                        </w:pPr>
                        <w:r w:rsidRPr="00B949F0">
                          <w:rPr>
                            <w:b/>
                            <w:i/>
                            <w:sz w:val="20"/>
                          </w:rPr>
                          <w:t>asaA</w:t>
                        </w:r>
                      </w:p>
                    </w:txbxContent>
                  </v:textbox>
                </v:shape>
                <v:shape id="Pentagon 13" o:spid="_x0000_s1031" type="#_x0000_t15" style="position:absolute;left:42085;top:-520;width:14364;height:307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" adj="19287" fillcolor="#9bbb59 [3206]" strokecolor="#4e6128 [1606]" strokeweight="2pt">
                  <v:textbox>
                    <w:txbxContent>
                      <w:p w14:paraId="30E46946" w14:textId="5341EB9C" w:rsidR="003B0180" w:rsidRPr="00B949F0" w:rsidRDefault="003B0180" w:rsidP="00B949F0">
                        <w:pPr>
                          <w:jc w:val="center"/>
                          <w:rPr>
                            <w:b/>
                            <w:i/>
                            <w:sz w:val="20"/>
                          </w:rPr>
                        </w:pPr>
                        <w:r w:rsidRPr="00B949F0">
                          <w:rPr>
                            <w:b/>
                            <w:i/>
                            <w:sz w:val="20"/>
                          </w:rPr>
                          <w:t>amdS</w:t>
                        </w:r>
                      </w:p>
                    </w:txbxContent>
                  </v:textbox>
                </v:shape>
              </v:group>
            </w:pict>
          </mc:Fallback>
        </mc:AlternateContent>
      </w:r>
    </w:p>
    <w:p w14:paraId="1896093A" w14:textId="0EFA04D2" w:rsidR="009C5D04" w:rsidRDefault="009C5D04" w:rsidP="00B703B5">
      <w:pPr>
        <w:rPr>
          <w:lang w:eastAsia="en-AU" w:bidi="ar-SA"/>
        </w:rPr>
      </w:pPr>
    </w:p>
    <w:p w14:paraId="077AA42A" w14:textId="2CCEC357" w:rsidR="009C5D04" w:rsidRDefault="0069360D" w:rsidP="00B703B5">
      <w:pPr>
        <w:rPr>
          <w:lang w:eastAsia="en-AU" w:bidi="ar-SA"/>
        </w:rPr>
      </w:pPr>
      <w:r w:rsidRPr="0069360D">
        <w:rPr>
          <w:noProof/>
          <w:lang w:eastAsia="en-GB" w:bidi="ar-SA"/>
        </w:rPr>
        <mc:AlternateContent>
          <mc:Choice Requires="wps">
            <w:drawing>
              <wp:anchor distT="45720" distB="45720" distL="114300" distR="114300" simplePos="0" relativeHeight="251658243" behindDoc="0" locked="0" layoutInCell="1" allowOverlap="1" wp14:anchorId="1A63A30E" wp14:editId="1AF21E0F">
                <wp:simplePos x="0" y="0"/>
                <wp:positionH relativeFrom="margin">
                  <wp:posOffset>41275</wp:posOffset>
                </wp:positionH>
                <wp:positionV relativeFrom="paragraph">
                  <wp:posOffset>119380</wp:posOffset>
                </wp:positionV>
                <wp:extent cx="3700145" cy="309600"/>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309600"/>
                        </a:xfrm>
                        <a:prstGeom prst="rect">
                          <a:avLst/>
                        </a:prstGeom>
                        <a:noFill/>
                        <a:ln w="9525">
                          <a:noFill/>
                          <a:miter lim="800000"/>
                          <a:headEnd/>
                          <a:tailEnd/>
                        </a:ln>
                      </wps:spPr>
                      <wps:txbx>
                        <w:txbxContent>
                          <w:p w14:paraId="76C29B1E" w14:textId="6BBD6930" w:rsidR="003B0180" w:rsidRPr="0069360D" w:rsidRDefault="003B0180" w:rsidP="0069360D">
                            <w:pPr>
                              <w:rPr>
                                <w:b/>
                              </w:rPr>
                            </w:pPr>
                            <w:r w:rsidRPr="0069360D">
                              <w:rPr>
                                <w:b/>
                                <w:i/>
                              </w:rPr>
                              <w:t>amgGT</w:t>
                            </w:r>
                            <w:r>
                              <w:rPr>
                                <w:b/>
                              </w:rPr>
                              <w:t xml:space="preserve"> e</w:t>
                            </w:r>
                            <w:r w:rsidRPr="0069360D">
                              <w:rPr>
                                <w:b/>
                              </w:rPr>
                              <w:t xml:space="preserve">xpression cassette </w:t>
                            </w:r>
                            <w:r>
                              <w:rPr>
                                <w:b/>
                              </w:rPr>
                              <w:t xml:space="preserve">B </w:t>
                            </w:r>
                            <w:r w:rsidRPr="0069360D">
                              <w:rPr>
                                <w:b/>
                              </w:rPr>
                              <w:t xml:space="preserve">from vector </w:t>
                            </w:r>
                            <w:r>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3A30E" id="_x0000_s1032" type="#_x0000_t202" style="position:absolute;margin-left:3.25pt;margin-top:9.4pt;width:291.35pt;height:24.4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" filled="f" stroked="f">
                <v:textbox>
                  <w:txbxContent>
                    <w:p w14:paraId="76C29B1E" w14:textId="6BBD6930" w:rsidR="003B0180" w:rsidRPr="0069360D" w:rsidRDefault="003B0180" w:rsidP="0069360D">
                      <w:pPr>
                        <w:rPr>
                          <w:b/>
                        </w:rPr>
                      </w:pPr>
                      <w:r w:rsidRPr="0069360D">
                        <w:rPr>
                          <w:b/>
                          <w:i/>
                        </w:rPr>
                        <w:t>amgGT</w:t>
                      </w:r>
                      <w:r>
                        <w:rPr>
                          <w:b/>
                        </w:rPr>
                        <w:t xml:space="preserve"> e</w:t>
                      </w:r>
                      <w:r w:rsidRPr="0069360D">
                        <w:rPr>
                          <w:b/>
                        </w:rPr>
                        <w:t xml:space="preserve">xpression cassette </w:t>
                      </w:r>
                      <w:r>
                        <w:rPr>
                          <w:b/>
                        </w:rPr>
                        <w:t xml:space="preserve">B </w:t>
                      </w:r>
                      <w:r w:rsidRPr="0069360D">
                        <w:rPr>
                          <w:b/>
                        </w:rPr>
                        <w:t xml:space="preserve">from vector </w:t>
                      </w:r>
                      <w:r>
                        <w:rPr>
                          <w:b/>
                        </w:rPr>
                        <w:t>B</w:t>
                      </w:r>
                    </w:p>
                  </w:txbxContent>
                </v:textbox>
                <w10:wrap type="square" anchorx="margin"/>
              </v:shape>
            </w:pict>
          </mc:Fallback>
        </mc:AlternateContent>
      </w:r>
    </w:p>
    <w:p w14:paraId="7B84D6F3" w14:textId="3B90270E" w:rsidR="009C5D04" w:rsidRDefault="009C5D04" w:rsidP="00B703B5">
      <w:pPr>
        <w:rPr>
          <w:lang w:eastAsia="en-AU" w:bidi="ar-SA"/>
        </w:rPr>
      </w:pPr>
    </w:p>
    <w:p w14:paraId="756B3EEB" w14:textId="0E068FFE" w:rsidR="009C5D04" w:rsidRDefault="00B949F0" w:rsidP="00B703B5">
      <w:pPr>
        <w:rPr>
          <w:lang w:eastAsia="en-AU" w:bidi="ar-SA"/>
        </w:rPr>
      </w:pPr>
      <w:r>
        <w:rPr>
          <w:noProof/>
          <w:lang w:eastAsia="en-GB" w:bidi="ar-SA"/>
        </w:rPr>
        <mc:AlternateContent>
          <mc:Choice Requires="wpg">
            <w:drawing>
              <wp:anchor distT="0" distB="0" distL="114300" distR="114300" simplePos="0" relativeHeight="251658244" behindDoc="0" locked="0" layoutInCell="1" allowOverlap="1" wp14:anchorId="2725D610" wp14:editId="5577D2EE">
                <wp:simplePos x="0" y="0"/>
                <wp:positionH relativeFrom="column">
                  <wp:posOffset>52070</wp:posOffset>
                </wp:positionH>
                <wp:positionV relativeFrom="paragraph">
                  <wp:posOffset>111125</wp:posOffset>
                </wp:positionV>
                <wp:extent cx="3348000" cy="307340"/>
                <wp:effectExtent l="0" t="0" r="24130" b="16510"/>
                <wp:wrapNone/>
                <wp:docPr id="46" name="Group 46"/>
                <wp:cNvGraphicFramePr/>
                <a:graphic xmlns:a="http://schemas.openxmlformats.org/drawingml/2006/main">
                  <a:graphicData uri="http://schemas.microsoft.com/office/word/2010/wordprocessingGroup">
                    <wpg:wgp>
                      <wpg:cNvGrpSpPr/>
                      <wpg:grpSpPr>
                        <a:xfrm>
                          <a:off x="0" y="0"/>
                          <a:ext cx="3348000" cy="307340"/>
                          <a:chOff x="0" y="0"/>
                          <a:chExt cx="3348000" cy="307340"/>
                        </a:xfrm>
                      </wpg:grpSpPr>
                      <wps:wsp>
                        <wps:cNvPr id="23" name="Straight Connector 23"/>
                        <wps:cNvCnPr/>
                        <wps:spPr>
                          <a:xfrm flipV="1">
                            <a:off x="0" y="155276"/>
                            <a:ext cx="3348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45" name="Group 45"/>
                        <wpg:cNvGrpSpPr/>
                        <wpg:grpSpPr>
                          <a:xfrm>
                            <a:off x="68832" y="0"/>
                            <a:ext cx="3205427" cy="307340"/>
                            <a:chOff x="-34685" y="0"/>
                            <a:chExt cx="3205427" cy="307340"/>
                          </a:xfrm>
                        </wpg:grpSpPr>
                        <wps:wsp>
                          <wps:cNvPr id="44" name="Pentagon 44"/>
                          <wps:cNvSpPr/>
                          <wps:spPr>
                            <a:xfrm>
                              <a:off x="-34685" y="0"/>
                              <a:ext cx="1763395" cy="306705"/>
                            </a:xfrm>
                            <a:prstGeom prst="homePlate">
                              <a:avLst/>
                            </a:prstGeom>
                            <a:solidFill>
                              <a:schemeClr val="accent6">
                                <a:lumMod val="60000"/>
                                <a:lumOff val="40000"/>
                              </a:schemeClr>
                            </a:solidFill>
                            <a:ln>
                              <a:solidFill>
                                <a:schemeClr val="accent6">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1100798" w14:textId="77777777" w:rsidR="003B0180" w:rsidRPr="00B949F0" w:rsidRDefault="003B0180" w:rsidP="00265D02">
                                <w:pPr>
                                  <w:jc w:val="center"/>
                                  <w:rPr>
                                    <w:b/>
                                    <w:i/>
                                    <w:sz w:val="20"/>
                                  </w:rPr>
                                </w:pPr>
                                <w:r w:rsidRPr="00B949F0">
                                  <w:rPr>
                                    <w:b/>
                                    <w:i/>
                                    <w:sz w:val="20"/>
                                  </w:rPr>
                                  <w:t>amgGT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Pentagon 41"/>
                          <wps:cNvSpPr/>
                          <wps:spPr>
                            <a:xfrm>
                              <a:off x="1802742" y="0"/>
                              <a:ext cx="1368000" cy="307340"/>
                            </a:xfrm>
                            <a:prstGeom prst="homePlate">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0E618F3" w14:textId="35DB04D9" w:rsidR="003B0180" w:rsidRPr="00B949F0" w:rsidRDefault="003B0180" w:rsidP="001F3D7E">
                                <w:pPr>
                                  <w:jc w:val="center"/>
                                  <w:rPr>
                                    <w:b/>
                                    <w:i/>
                                    <w:sz w:val="20"/>
                                  </w:rPr>
                                </w:pPr>
                                <w:r>
                                  <w:rPr>
                                    <w:b/>
                                    <w:i/>
                                    <w:sz w:val="20"/>
                                  </w:rPr>
                                  <w:t>p</w:t>
                                </w:r>
                                <w:r w:rsidRPr="00B949F0">
                                  <w:rPr>
                                    <w:b/>
                                    <w:i/>
                                    <w:sz w:val="20"/>
                                  </w:rPr>
                                  <w:t>yrG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725D610" id="Group 46" o:spid="_x0000_s1033" style="position:absolute;margin-left:4.1pt;margin-top:8.75pt;width:263.6pt;height:24.2pt;z-index:251658244;mso-width-relative:margin" coordsize="33480,3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">
                <v:line id="Straight Connector 23" o:spid="_x0000_s1034" style="position:absolute;flip:y;visibility:visible;mso-wrap-style:square" from="0,1552" to="33480,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" strokecolor="black [3040]" strokeweight="1.5pt"/>
                <v:group id="Group 45" o:spid="_x0000_s1035" style="position:absolute;left:688;width:32054;height:3073" coordorigin="-346" coordsize="32054,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Pentagon 44" o:spid="_x0000_s1036" type="#_x0000_t15" style="position:absolute;left:-346;width:17633;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" adj="19722" fillcolor="#fabf8f [1945]" strokecolor="#e36c0a [2409]" strokeweight="2pt">
                    <v:textbox>
                      <w:txbxContent>
                        <w:p w14:paraId="21100798" w14:textId="77777777" w:rsidR="003B0180" w:rsidRPr="00B949F0" w:rsidRDefault="003B0180" w:rsidP="00265D02">
                          <w:pPr>
                            <w:jc w:val="center"/>
                            <w:rPr>
                              <w:b/>
                              <w:i/>
                              <w:sz w:val="20"/>
                            </w:rPr>
                          </w:pPr>
                          <w:r w:rsidRPr="00B949F0">
                            <w:rPr>
                              <w:b/>
                              <w:i/>
                              <w:sz w:val="20"/>
                            </w:rPr>
                            <w:t>amgGT</w:t>
                          </w:r>
                        </w:p>
                      </w:txbxContent>
                    </v:textbox>
                  </v:shape>
                  <v:shape id="Pentagon 41" o:spid="_x0000_s1037" type="#_x0000_t15" style="position:absolute;left:18027;width:13680;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" adj="19174" fillcolor="#4bacc6 [3208]" strokecolor="#205867 [1608]" strokeweight="2pt">
                    <v:textbox>
                      <w:txbxContent>
                        <w:p w14:paraId="10E618F3" w14:textId="35DB04D9" w:rsidR="003B0180" w:rsidRPr="00B949F0" w:rsidRDefault="003B0180" w:rsidP="001F3D7E">
                          <w:pPr>
                            <w:jc w:val="center"/>
                            <w:rPr>
                              <w:b/>
                              <w:i/>
                              <w:sz w:val="20"/>
                            </w:rPr>
                          </w:pPr>
                          <w:r>
                            <w:rPr>
                              <w:b/>
                              <w:i/>
                              <w:sz w:val="20"/>
                            </w:rPr>
                            <w:t>p</w:t>
                          </w:r>
                          <w:r w:rsidRPr="00B949F0">
                            <w:rPr>
                              <w:b/>
                              <w:i/>
                              <w:sz w:val="20"/>
                            </w:rPr>
                            <w:t>yrG</w:t>
                          </w:r>
                        </w:p>
                      </w:txbxContent>
                    </v:textbox>
                  </v:shape>
                </v:group>
              </v:group>
            </w:pict>
          </mc:Fallback>
        </mc:AlternateContent>
      </w:r>
    </w:p>
    <w:p w14:paraId="51CAA3EA" w14:textId="3799A93C" w:rsidR="009C5D04" w:rsidRDefault="009C5D04" w:rsidP="00B703B5">
      <w:pPr>
        <w:rPr>
          <w:lang w:eastAsia="en-AU" w:bidi="ar-SA"/>
        </w:rPr>
      </w:pPr>
    </w:p>
    <w:p w14:paraId="2108DA4E" w14:textId="24622901" w:rsidR="009C5D04" w:rsidRDefault="009C5D04" w:rsidP="00B703B5">
      <w:pPr>
        <w:rPr>
          <w:lang w:eastAsia="en-AU" w:bidi="ar-SA"/>
        </w:rPr>
      </w:pPr>
    </w:p>
    <w:p w14:paraId="6A49E00F" w14:textId="2F0BE7D2" w:rsidR="00102AFE" w:rsidRDefault="00102AFE" w:rsidP="00B703B5">
      <w:pPr>
        <w:rPr>
          <w:lang w:eastAsia="en-AU" w:bidi="ar-SA"/>
        </w:rPr>
      </w:pPr>
    </w:p>
    <w:p w14:paraId="76C92765" w14:textId="4E3E1D8B" w:rsidR="0069360D" w:rsidRDefault="0069360D" w:rsidP="0069360D">
      <w:pPr>
        <w:pStyle w:val="FSFigureTitle"/>
        <w:rPr>
          <w:lang w:eastAsia="en-AU" w:bidi="ar-SA"/>
        </w:rPr>
      </w:pPr>
      <w:r w:rsidRPr="0069360D">
        <w:rPr>
          <w:b/>
          <w:lang w:eastAsia="en-AU" w:bidi="ar-SA"/>
        </w:rPr>
        <w:t xml:space="preserve">Figure </w:t>
      </w:r>
      <w:r w:rsidR="00FC2ED7">
        <w:rPr>
          <w:b/>
          <w:lang w:eastAsia="en-AU" w:bidi="ar-SA"/>
        </w:rPr>
        <w:t>2</w:t>
      </w:r>
      <w:r w:rsidR="00F16E53">
        <w:rPr>
          <w:lang w:eastAsia="en-AU" w:bidi="ar-SA"/>
        </w:rPr>
        <w:t>: M</w:t>
      </w:r>
      <w:r>
        <w:rPr>
          <w:lang w:eastAsia="en-AU" w:bidi="ar-SA"/>
        </w:rPr>
        <w:t>ap of the amgGT expression cassettes from vectors A and B.</w:t>
      </w:r>
    </w:p>
    <w:p w14:paraId="062E6C9A" w14:textId="41E4A656" w:rsidR="0069360D" w:rsidRDefault="0069360D" w:rsidP="00B703B5">
      <w:pPr>
        <w:rPr>
          <w:lang w:eastAsia="en-AU" w:bidi="ar-SA"/>
        </w:rPr>
      </w:pPr>
    </w:p>
    <w:p w14:paraId="40A00552" w14:textId="02AB7767" w:rsidR="000A62C3" w:rsidRDefault="00F17143" w:rsidP="00B703B5">
      <w:pPr>
        <w:rPr>
          <w:rFonts w:cs="Arial"/>
          <w:color w:val="000000" w:themeColor="text1"/>
        </w:rPr>
      </w:pPr>
      <w:r>
        <w:rPr>
          <w:lang w:eastAsia="en-AU" w:bidi="ar-SA"/>
        </w:rPr>
        <w:t xml:space="preserve">In the backbone sequence of vector A there is an ampicillin resistance gene for passage in </w:t>
      </w:r>
      <w:r w:rsidRPr="00102AFE">
        <w:rPr>
          <w:i/>
          <w:lang w:eastAsia="en-AU" w:bidi="ar-SA"/>
        </w:rPr>
        <w:t>E. coli</w:t>
      </w:r>
      <w:r w:rsidRPr="0069360D">
        <w:rPr>
          <w:lang w:eastAsia="en-AU" w:bidi="ar-SA"/>
        </w:rPr>
        <w:t>.</w:t>
      </w:r>
      <w:r>
        <w:rPr>
          <w:lang w:eastAsia="en-AU" w:bidi="ar-SA"/>
        </w:rPr>
        <w:t xml:space="preserve"> Vector B </w:t>
      </w:r>
      <w:r w:rsidR="00B777F5">
        <w:rPr>
          <w:lang w:eastAsia="en-AU" w:bidi="ar-SA"/>
        </w:rPr>
        <w:t>makes use of the</w:t>
      </w:r>
      <w:r>
        <w:rPr>
          <w:lang w:eastAsia="en-AU" w:bidi="ar-SA"/>
        </w:rPr>
        <w:t xml:space="preserve"> </w:t>
      </w:r>
      <w:r w:rsidRPr="00D571E9">
        <w:rPr>
          <w:rFonts w:cs="Arial"/>
          <w:i/>
          <w:color w:val="000000" w:themeColor="text1"/>
        </w:rPr>
        <w:t>Saccharomyces cerevisiae</w:t>
      </w:r>
      <w:r>
        <w:rPr>
          <w:rFonts w:cs="Arial"/>
          <w:i/>
          <w:color w:val="000000" w:themeColor="text1"/>
        </w:rPr>
        <w:t xml:space="preserve"> </w:t>
      </w:r>
      <w:r>
        <w:rPr>
          <w:rFonts w:cs="Arial"/>
          <w:color w:val="000000" w:themeColor="text1"/>
        </w:rPr>
        <w:t>OMP decarboxylase gene (</w:t>
      </w:r>
      <w:r w:rsidRPr="006D011E">
        <w:rPr>
          <w:rFonts w:cs="Arial"/>
          <w:i/>
          <w:color w:val="000000" w:themeColor="text1"/>
        </w:rPr>
        <w:t>URA3</w:t>
      </w:r>
      <w:r>
        <w:rPr>
          <w:rFonts w:cs="Arial"/>
          <w:color w:val="000000" w:themeColor="text1"/>
        </w:rPr>
        <w:t xml:space="preserve">) for passage in </w:t>
      </w:r>
      <w:r w:rsidRPr="002811F4">
        <w:rPr>
          <w:rFonts w:cs="Arial"/>
          <w:i/>
          <w:color w:val="000000" w:themeColor="text1"/>
        </w:rPr>
        <w:t>E. coli</w:t>
      </w:r>
      <w:r w:rsidRPr="000F660B">
        <w:rPr>
          <w:rFonts w:cs="Arial"/>
          <w:color w:val="000000" w:themeColor="text1"/>
        </w:rPr>
        <w:t xml:space="preserve"> (</w:t>
      </w:r>
      <w:r w:rsidRPr="006C25FE">
        <w:rPr>
          <w:rFonts w:cs="Arial"/>
          <w:color w:val="000000" w:themeColor="text1"/>
        </w:rPr>
        <w:t xml:space="preserve">Rose et al, </w:t>
      </w:r>
      <w:r>
        <w:rPr>
          <w:rFonts w:cs="Arial"/>
          <w:color w:val="000000" w:themeColor="text1"/>
        </w:rPr>
        <w:t>1984</w:t>
      </w:r>
      <w:r w:rsidRPr="000F660B">
        <w:rPr>
          <w:rFonts w:cs="Arial"/>
          <w:color w:val="000000" w:themeColor="text1"/>
        </w:rPr>
        <w:t>)</w:t>
      </w:r>
      <w:r>
        <w:rPr>
          <w:rFonts w:cs="Arial"/>
          <w:color w:val="000000" w:themeColor="text1"/>
        </w:rPr>
        <w:t xml:space="preserve">. The backbone sequences for both vectors are removed prior to transforming the </w:t>
      </w:r>
      <w:r w:rsidRPr="00F17143">
        <w:rPr>
          <w:rFonts w:cs="Arial"/>
          <w:i/>
          <w:color w:val="000000" w:themeColor="text1"/>
        </w:rPr>
        <w:t>Aspergillus</w:t>
      </w:r>
      <w:r>
        <w:rPr>
          <w:rFonts w:cs="Arial"/>
          <w:color w:val="000000" w:themeColor="text1"/>
        </w:rPr>
        <w:t xml:space="preserve"> host.</w:t>
      </w:r>
    </w:p>
    <w:p w14:paraId="3C154C49" w14:textId="77777777" w:rsidR="00F17143" w:rsidRDefault="00F17143" w:rsidP="00B703B5">
      <w:pPr>
        <w:rPr>
          <w:lang w:eastAsia="en-AU" w:bidi="ar-SA"/>
        </w:rPr>
      </w:pPr>
    </w:p>
    <w:p w14:paraId="225039AB" w14:textId="330EE526" w:rsidR="003C1F1D" w:rsidRDefault="003C1F1D" w:rsidP="00B703B5">
      <w:pPr>
        <w:rPr>
          <w:lang w:eastAsia="en-AU" w:bidi="ar-SA"/>
        </w:rPr>
      </w:pPr>
      <w:r>
        <w:rPr>
          <w:lang w:eastAsia="en-AU" w:bidi="ar-SA"/>
        </w:rPr>
        <w:t xml:space="preserve">A further vector </w:t>
      </w:r>
      <w:r w:rsidR="0069360D">
        <w:rPr>
          <w:lang w:eastAsia="en-AU" w:bidi="ar-SA"/>
        </w:rPr>
        <w:t xml:space="preserve">designated C </w:t>
      </w:r>
      <w:r>
        <w:rPr>
          <w:lang w:eastAsia="en-AU" w:bidi="ar-SA"/>
        </w:rPr>
        <w:t xml:space="preserve">was generated for </w:t>
      </w:r>
      <w:r w:rsidR="0069360D">
        <w:rPr>
          <w:lang w:eastAsia="en-AU" w:bidi="ar-SA"/>
        </w:rPr>
        <w:t>disrupting t</w:t>
      </w:r>
      <w:r w:rsidR="004F2192">
        <w:rPr>
          <w:lang w:eastAsia="en-AU" w:bidi="ar-SA"/>
        </w:rPr>
        <w:t>he endogenous oxalic acid gene</w:t>
      </w:r>
      <w:r w:rsidR="0037210D">
        <w:rPr>
          <w:lang w:eastAsia="en-AU" w:bidi="ar-SA"/>
        </w:rPr>
        <w:t xml:space="preserve">. </w:t>
      </w:r>
      <w:r w:rsidR="0069360D">
        <w:rPr>
          <w:lang w:eastAsia="en-AU" w:bidi="ar-SA"/>
        </w:rPr>
        <w:t>The aim of this gene disruption was to eliminate the production of oxalic acid during fermentation.</w:t>
      </w:r>
    </w:p>
    <w:p w14:paraId="4CDC4F54" w14:textId="1BF958FE" w:rsidR="00D83746" w:rsidRDefault="00D83746" w:rsidP="00B703B5">
      <w:pPr>
        <w:rPr>
          <w:lang w:eastAsia="en-AU" w:bidi="ar-SA"/>
        </w:rPr>
      </w:pPr>
    </w:p>
    <w:p w14:paraId="0527722C" w14:textId="11A769B3" w:rsidR="00D16BA9" w:rsidRDefault="0037210D" w:rsidP="00F16E53">
      <w:pPr>
        <w:rPr>
          <w:lang w:eastAsia="en-AU" w:bidi="ar-SA"/>
        </w:rPr>
      </w:pPr>
      <w:r>
        <w:rPr>
          <w:lang w:eastAsia="en-AU" w:bidi="ar-SA"/>
        </w:rPr>
        <w:t xml:space="preserve">The three expression cassettes were introduced into the </w:t>
      </w:r>
      <w:r w:rsidRPr="00912AD0">
        <w:rPr>
          <w:i/>
          <w:lang w:eastAsia="en-AU" w:bidi="ar-SA"/>
        </w:rPr>
        <w:t>Aspergillus</w:t>
      </w:r>
      <w:r>
        <w:rPr>
          <w:lang w:eastAsia="en-AU" w:bidi="ar-SA"/>
        </w:rPr>
        <w:t xml:space="preserve"> host by sequential transformation,</w:t>
      </w:r>
      <w:r w:rsidR="00912AD0">
        <w:rPr>
          <w:lang w:eastAsia="en-AU" w:bidi="ar-SA"/>
        </w:rPr>
        <w:t xml:space="preserve"> </w:t>
      </w:r>
      <w:r w:rsidR="00975085">
        <w:rPr>
          <w:lang w:eastAsia="en-AU" w:bidi="ar-SA"/>
        </w:rPr>
        <w:t>using standard methodology for transformation of</w:t>
      </w:r>
      <w:r w:rsidR="00912AD0">
        <w:rPr>
          <w:lang w:eastAsia="en-AU" w:bidi="ar-SA"/>
        </w:rPr>
        <w:t xml:space="preserve"> protoplasts </w:t>
      </w:r>
      <w:r w:rsidR="00975085">
        <w:rPr>
          <w:lang w:eastAsia="en-AU" w:bidi="ar-SA"/>
        </w:rPr>
        <w:t>(</w:t>
      </w:r>
      <w:r w:rsidR="00975085" w:rsidRPr="006C25FE">
        <w:rPr>
          <w:lang w:eastAsia="en-AU" w:bidi="ar-SA"/>
        </w:rPr>
        <w:t>Ruiz-Diez, 2002</w:t>
      </w:r>
      <w:r w:rsidR="00975085">
        <w:rPr>
          <w:lang w:eastAsia="en-AU" w:bidi="ar-SA"/>
        </w:rPr>
        <w:t>)</w:t>
      </w:r>
      <w:r w:rsidR="00912AD0">
        <w:rPr>
          <w:lang w:eastAsia="en-AU" w:bidi="ar-SA"/>
        </w:rPr>
        <w:t xml:space="preserve">. </w:t>
      </w:r>
      <w:r w:rsidR="00C076F6">
        <w:rPr>
          <w:lang w:eastAsia="en-AU" w:bidi="ar-SA"/>
        </w:rPr>
        <w:t xml:space="preserve">Before transformation, </w:t>
      </w:r>
      <w:r w:rsidR="00975085">
        <w:rPr>
          <w:lang w:eastAsia="en-AU" w:bidi="ar-SA"/>
        </w:rPr>
        <w:t>each</w:t>
      </w:r>
      <w:r w:rsidR="00C076F6">
        <w:rPr>
          <w:lang w:eastAsia="en-AU" w:bidi="ar-SA"/>
        </w:rPr>
        <w:t xml:space="preserve"> </w:t>
      </w:r>
      <w:r w:rsidR="00975085">
        <w:rPr>
          <w:lang w:eastAsia="en-AU" w:bidi="ar-SA"/>
        </w:rPr>
        <w:t>vector</w:t>
      </w:r>
      <w:r w:rsidR="00C076F6">
        <w:rPr>
          <w:lang w:eastAsia="en-AU" w:bidi="ar-SA"/>
        </w:rPr>
        <w:t xml:space="preserve"> </w:t>
      </w:r>
      <w:r w:rsidR="00975085">
        <w:rPr>
          <w:lang w:eastAsia="en-AU" w:bidi="ar-SA"/>
        </w:rPr>
        <w:t>was digested with</w:t>
      </w:r>
      <w:r w:rsidR="00A924F6">
        <w:rPr>
          <w:lang w:eastAsia="en-AU" w:bidi="ar-SA"/>
        </w:rPr>
        <w:t xml:space="preserve"> restriction </w:t>
      </w:r>
      <w:r w:rsidR="00975085">
        <w:rPr>
          <w:lang w:eastAsia="en-AU" w:bidi="ar-SA"/>
        </w:rPr>
        <w:t>enzymes</w:t>
      </w:r>
      <w:r w:rsidR="00A924F6">
        <w:rPr>
          <w:lang w:eastAsia="en-AU" w:bidi="ar-SA"/>
        </w:rPr>
        <w:t xml:space="preserve"> </w:t>
      </w:r>
      <w:r w:rsidR="00975085">
        <w:rPr>
          <w:lang w:eastAsia="en-AU" w:bidi="ar-SA"/>
        </w:rPr>
        <w:t>to isolate the expression cassette away</w:t>
      </w:r>
      <w:r w:rsidR="00A924F6">
        <w:rPr>
          <w:lang w:eastAsia="en-AU" w:bidi="ar-SA"/>
        </w:rPr>
        <w:t xml:space="preserve"> from the vector </w:t>
      </w:r>
      <w:r w:rsidR="00975085">
        <w:rPr>
          <w:lang w:eastAsia="en-AU" w:bidi="ar-SA"/>
        </w:rPr>
        <w:t>backbone</w:t>
      </w:r>
      <w:r w:rsidR="00A35EC6">
        <w:rPr>
          <w:lang w:eastAsia="en-AU" w:bidi="ar-SA"/>
        </w:rPr>
        <w:t>,</w:t>
      </w:r>
      <w:r w:rsidR="00975085">
        <w:rPr>
          <w:lang w:eastAsia="en-AU" w:bidi="ar-SA"/>
        </w:rPr>
        <w:t xml:space="preserve"> thereby ensuring </w:t>
      </w:r>
      <w:r w:rsidR="0097547C">
        <w:rPr>
          <w:lang w:eastAsia="en-AU" w:bidi="ar-SA"/>
        </w:rPr>
        <w:t xml:space="preserve">the </w:t>
      </w:r>
      <w:r w:rsidR="00975085">
        <w:rPr>
          <w:lang w:eastAsia="en-AU" w:bidi="ar-SA"/>
        </w:rPr>
        <w:t>absence of any vector backbone sequence</w:t>
      </w:r>
      <w:r w:rsidR="00A924F6">
        <w:rPr>
          <w:lang w:eastAsia="en-AU" w:bidi="ar-SA"/>
        </w:rPr>
        <w:t>.</w:t>
      </w:r>
      <w:r w:rsidR="00C076F6">
        <w:rPr>
          <w:lang w:eastAsia="en-AU" w:bidi="ar-SA"/>
        </w:rPr>
        <w:t xml:space="preserve"> </w:t>
      </w:r>
      <w:r w:rsidR="00B777F5">
        <w:rPr>
          <w:lang w:eastAsia="en-AU" w:bidi="ar-SA"/>
        </w:rPr>
        <w:t xml:space="preserve">After the sequential transformation, which generated a clone </w:t>
      </w:r>
      <w:r w:rsidR="0097547C">
        <w:rPr>
          <w:lang w:eastAsia="en-AU" w:bidi="ar-SA"/>
        </w:rPr>
        <w:t>that was</w:t>
      </w:r>
      <w:r w:rsidR="00B777F5">
        <w:rPr>
          <w:lang w:eastAsia="en-AU" w:bidi="ar-SA"/>
        </w:rPr>
        <w:t xml:space="preserve"> designated pre-41SaM2-54, several rounds of conventional mutagenesis </w:t>
      </w:r>
      <w:r w:rsidR="0097547C">
        <w:rPr>
          <w:lang w:eastAsia="en-AU" w:bidi="ar-SA"/>
        </w:rPr>
        <w:t xml:space="preserve">were </w:t>
      </w:r>
      <w:r w:rsidR="00B777F5">
        <w:rPr>
          <w:lang w:eastAsia="en-AU" w:bidi="ar-SA"/>
        </w:rPr>
        <w:t>performed to generate the final production strain,</w:t>
      </w:r>
      <w:r w:rsidR="00A35EC6">
        <w:rPr>
          <w:lang w:eastAsia="en-AU" w:bidi="ar-SA"/>
        </w:rPr>
        <w:t xml:space="preserve"> 41SaM2-54</w:t>
      </w:r>
      <w:r w:rsidR="00B777F5">
        <w:rPr>
          <w:lang w:eastAsia="en-AU" w:bidi="ar-SA"/>
        </w:rPr>
        <w:t xml:space="preserve"> (Figure </w:t>
      </w:r>
      <w:r w:rsidR="009E340B">
        <w:rPr>
          <w:lang w:eastAsia="en-AU" w:bidi="ar-SA"/>
        </w:rPr>
        <w:t>3</w:t>
      </w:r>
      <w:r w:rsidR="00B777F5">
        <w:rPr>
          <w:lang w:eastAsia="en-AU" w:bidi="ar-SA"/>
        </w:rPr>
        <w:t>)</w:t>
      </w:r>
      <w:r w:rsidR="00A35EC6">
        <w:rPr>
          <w:lang w:eastAsia="en-AU" w:bidi="ar-SA"/>
        </w:rPr>
        <w:t>.</w:t>
      </w:r>
    </w:p>
    <w:p w14:paraId="74A973BA" w14:textId="77777777" w:rsidR="00345FF5" w:rsidRDefault="00345FF5" w:rsidP="00F16E53">
      <w:pPr>
        <w:rPr>
          <w:lang w:eastAsia="en-AU" w:bidi="ar-SA"/>
        </w:rPr>
      </w:pPr>
    </w:p>
    <w:p w14:paraId="2BC28ACC" w14:textId="35282B8F" w:rsidR="00B777F5" w:rsidRDefault="00B777F5">
      <w:pPr>
        <w:widowControl/>
        <w:rPr>
          <w:lang w:eastAsia="en-AU" w:bidi="ar-SA"/>
        </w:rPr>
      </w:pPr>
    </w:p>
    <w:p w14:paraId="475A943C" w14:textId="0DD467C8" w:rsidR="00B777F5" w:rsidRDefault="004F2192">
      <w:pPr>
        <w:widowControl/>
        <w:rPr>
          <w:lang w:eastAsia="en-AU" w:bidi="ar-SA"/>
        </w:rPr>
      </w:pPr>
      <w:r>
        <w:rPr>
          <w:noProof/>
          <w:lang w:eastAsia="en-GB" w:bidi="ar-SA"/>
        </w:rPr>
        <mc:AlternateContent>
          <mc:Choice Requires="wps">
            <w:drawing>
              <wp:anchor distT="0" distB="0" distL="114300" distR="114300" simplePos="0" relativeHeight="251658248" behindDoc="0" locked="0" layoutInCell="1" allowOverlap="1" wp14:anchorId="16AD57B8" wp14:editId="133FBFB4">
                <wp:simplePos x="0" y="0"/>
                <wp:positionH relativeFrom="column">
                  <wp:posOffset>1128395</wp:posOffset>
                </wp:positionH>
                <wp:positionV relativeFrom="paragraph">
                  <wp:posOffset>13335</wp:posOffset>
                </wp:positionV>
                <wp:extent cx="1246505" cy="466725"/>
                <wp:effectExtent l="0" t="0" r="1079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466725"/>
                        </a:xfrm>
                        <a:prstGeom prst="rect">
                          <a:avLst/>
                        </a:prstGeom>
                        <a:noFill/>
                        <a:ln w="9525">
                          <a:solidFill>
                            <a:schemeClr val="tx1">
                              <a:lumMod val="75000"/>
                              <a:lumOff val="25000"/>
                            </a:schemeClr>
                          </a:solidFill>
                          <a:miter lim="800000"/>
                          <a:headEnd/>
                          <a:tailEnd/>
                        </a:ln>
                      </wps:spPr>
                      <wps:txbx>
                        <w:txbxContent>
                          <w:p w14:paraId="2AF6630C" w14:textId="1FF4D476" w:rsidR="003B0180" w:rsidRPr="004F2192" w:rsidRDefault="003B0180" w:rsidP="004F2192">
                            <w:pPr>
                              <w:jc w:val="center"/>
                              <w:rPr>
                                <w:b/>
                                <w:color w:val="404040" w:themeColor="text1" w:themeTint="BF"/>
                              </w:rPr>
                            </w:pPr>
                            <w:r>
                              <w:rPr>
                                <w:b/>
                                <w:color w:val="404040" w:themeColor="text1" w:themeTint="BF"/>
                              </w:rPr>
                              <w:t>Transformation &amp; Selection</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16AD57B8" id="_x0000_s1038" type="#_x0000_t202" style="position:absolute;margin-left:88.85pt;margin-top:1.05pt;width:98.15pt;height:36.7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" filled="f" strokecolor="#404040 [2429]">
                <v:textbox>
                  <w:txbxContent>
                    <w:p w14:paraId="2AF6630C" w14:textId="1FF4D476" w:rsidR="003B0180" w:rsidRPr="004F2192" w:rsidRDefault="003B0180" w:rsidP="004F2192">
                      <w:pPr>
                        <w:jc w:val="center"/>
                        <w:rPr>
                          <w:b/>
                          <w:color w:val="404040" w:themeColor="text1" w:themeTint="BF"/>
                        </w:rPr>
                      </w:pPr>
                      <w:r>
                        <w:rPr>
                          <w:b/>
                          <w:color w:val="404040" w:themeColor="text1" w:themeTint="BF"/>
                        </w:rPr>
                        <w:t>Transformation &amp; Selection</w:t>
                      </w:r>
                    </w:p>
                  </w:txbxContent>
                </v:textbox>
              </v:shape>
            </w:pict>
          </mc:Fallback>
        </mc:AlternateContent>
      </w:r>
      <w:r>
        <w:rPr>
          <w:noProof/>
          <w:lang w:eastAsia="en-GB" w:bidi="ar-SA"/>
        </w:rPr>
        <mc:AlternateContent>
          <mc:Choice Requires="wps">
            <w:drawing>
              <wp:anchor distT="0" distB="0" distL="114300" distR="114300" simplePos="0" relativeHeight="251658245" behindDoc="0" locked="0" layoutInCell="1" allowOverlap="1" wp14:anchorId="1E8D1CAA" wp14:editId="289E145D">
                <wp:simplePos x="0" y="0"/>
                <wp:positionH relativeFrom="column">
                  <wp:posOffset>3185795</wp:posOffset>
                </wp:positionH>
                <wp:positionV relativeFrom="paragraph">
                  <wp:posOffset>13335</wp:posOffset>
                </wp:positionV>
                <wp:extent cx="1246505" cy="466725"/>
                <wp:effectExtent l="0" t="0" r="10795" b="2857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466725"/>
                        </a:xfrm>
                        <a:prstGeom prst="rect">
                          <a:avLst/>
                        </a:prstGeom>
                        <a:noFill/>
                        <a:ln w="9525">
                          <a:solidFill>
                            <a:schemeClr val="tx1">
                              <a:lumMod val="75000"/>
                              <a:lumOff val="25000"/>
                            </a:schemeClr>
                          </a:solidFill>
                          <a:miter lim="800000"/>
                          <a:headEnd/>
                          <a:tailEnd/>
                        </a:ln>
                      </wps:spPr>
                      <wps:txbx>
                        <w:txbxContent>
                          <w:p w14:paraId="2C1DC03E" w14:textId="77777777" w:rsidR="003B0180" w:rsidRPr="004F2192" w:rsidRDefault="003B0180" w:rsidP="004F2192">
                            <w:pPr>
                              <w:jc w:val="center"/>
                              <w:rPr>
                                <w:b/>
                                <w:color w:val="404040" w:themeColor="text1" w:themeTint="BF"/>
                              </w:rPr>
                            </w:pPr>
                            <w:r w:rsidRPr="004F2192">
                              <w:rPr>
                                <w:b/>
                                <w:color w:val="404040" w:themeColor="text1" w:themeTint="BF"/>
                              </w:rPr>
                              <w:t>Conventional</w:t>
                            </w:r>
                          </w:p>
                          <w:p w14:paraId="50BD6E27" w14:textId="1B01B8DD" w:rsidR="003B0180" w:rsidRPr="004F2192" w:rsidRDefault="003B0180" w:rsidP="004F2192">
                            <w:pPr>
                              <w:jc w:val="center"/>
                              <w:rPr>
                                <w:b/>
                                <w:color w:val="404040" w:themeColor="text1" w:themeTint="BF"/>
                              </w:rPr>
                            </w:pPr>
                            <w:r w:rsidRPr="004F2192">
                              <w:rPr>
                                <w:b/>
                                <w:color w:val="404040" w:themeColor="text1" w:themeTint="BF"/>
                              </w:rPr>
                              <w:t>Mutagenesis</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1E8D1CAA" id="_x0000_s1039" type="#_x0000_t202" style="position:absolute;margin-left:250.85pt;margin-top:1.05pt;width:98.15pt;height:36.7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" filled="f" strokecolor="#404040 [2429]">
                <v:textbox>
                  <w:txbxContent>
                    <w:p w14:paraId="2C1DC03E" w14:textId="77777777" w:rsidR="003B0180" w:rsidRPr="004F2192" w:rsidRDefault="003B0180" w:rsidP="004F2192">
                      <w:pPr>
                        <w:jc w:val="center"/>
                        <w:rPr>
                          <w:b/>
                          <w:color w:val="404040" w:themeColor="text1" w:themeTint="BF"/>
                        </w:rPr>
                      </w:pPr>
                      <w:r w:rsidRPr="004F2192">
                        <w:rPr>
                          <w:b/>
                          <w:color w:val="404040" w:themeColor="text1" w:themeTint="BF"/>
                        </w:rPr>
                        <w:t>Conventional</w:t>
                      </w:r>
                    </w:p>
                    <w:p w14:paraId="50BD6E27" w14:textId="1B01B8DD" w:rsidR="003B0180" w:rsidRPr="004F2192" w:rsidRDefault="003B0180" w:rsidP="004F2192">
                      <w:pPr>
                        <w:jc w:val="center"/>
                        <w:rPr>
                          <w:b/>
                          <w:color w:val="404040" w:themeColor="text1" w:themeTint="BF"/>
                        </w:rPr>
                      </w:pPr>
                      <w:r w:rsidRPr="004F2192">
                        <w:rPr>
                          <w:b/>
                          <w:color w:val="404040" w:themeColor="text1" w:themeTint="BF"/>
                        </w:rPr>
                        <w:t>Mutagenesis</w:t>
                      </w:r>
                    </w:p>
                  </w:txbxContent>
                </v:textbox>
              </v:shape>
            </w:pict>
          </mc:Fallback>
        </mc:AlternateContent>
      </w:r>
    </w:p>
    <w:p w14:paraId="31F3B225" w14:textId="18C359E2" w:rsidR="00B777F5" w:rsidRDefault="00B777F5">
      <w:pPr>
        <w:widowControl/>
        <w:rPr>
          <w:lang w:eastAsia="en-AU" w:bidi="ar-SA"/>
        </w:rPr>
      </w:pPr>
    </w:p>
    <w:p w14:paraId="27F3E720" w14:textId="1CAD77AF" w:rsidR="00B777F5" w:rsidRDefault="00B777F5">
      <w:pPr>
        <w:widowControl/>
        <w:rPr>
          <w:lang w:eastAsia="en-AU" w:bidi="ar-SA"/>
        </w:rPr>
      </w:pPr>
    </w:p>
    <w:p w14:paraId="19A7993B" w14:textId="2277C06C" w:rsidR="00B777F5" w:rsidRDefault="004F2192">
      <w:pPr>
        <w:widowControl/>
        <w:rPr>
          <w:lang w:eastAsia="en-AU" w:bidi="ar-SA"/>
        </w:rPr>
      </w:pPr>
      <w:r>
        <w:rPr>
          <w:noProof/>
          <w:lang w:eastAsia="en-GB" w:bidi="ar-SA"/>
        </w:rPr>
        <mc:AlternateContent>
          <mc:Choice Requires="wps">
            <w:drawing>
              <wp:anchor distT="0" distB="0" distL="114300" distR="114300" simplePos="0" relativeHeight="251658247" behindDoc="0" locked="0" layoutInCell="1" allowOverlap="1" wp14:anchorId="1D4F19A7" wp14:editId="3FB9B81B">
                <wp:simplePos x="0" y="0"/>
                <wp:positionH relativeFrom="column">
                  <wp:posOffset>3804920</wp:posOffset>
                </wp:positionH>
                <wp:positionV relativeFrom="paragraph">
                  <wp:posOffset>26670</wp:posOffset>
                </wp:positionV>
                <wp:extent cx="0" cy="216000"/>
                <wp:effectExtent l="76200" t="0" r="57150" b="50800"/>
                <wp:wrapNone/>
                <wp:docPr id="16" name="Straight Connector 16"/>
                <wp:cNvGraphicFramePr/>
                <a:graphic xmlns:a="http://schemas.openxmlformats.org/drawingml/2006/main">
                  <a:graphicData uri="http://schemas.microsoft.com/office/word/2010/wordprocessingShape">
                    <wps:wsp>
                      <wps:cNvCnPr/>
                      <wps:spPr>
                        <a:xfrm>
                          <a:off x="0" y="0"/>
                          <a:ext cx="0" cy="216000"/>
                        </a:xfrm>
                        <a:prstGeom prst="line">
                          <a:avLst/>
                        </a:prstGeom>
                        <a:ln>
                          <a:solidFill>
                            <a:schemeClr val="tx1">
                              <a:lumMod val="75000"/>
                              <a:lumOff val="2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42CA2C" id="Straight Connector 16" o:spid="_x0000_s1026" style="position:absolute;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9.6pt,2.1pt" to="299.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" strokecolor="#404040 [2429]">
                <v:stroke endarrow="block"/>
              </v:line>
            </w:pict>
          </mc:Fallback>
        </mc:AlternateContent>
      </w:r>
    </w:p>
    <w:p w14:paraId="3C56B490" w14:textId="671DC121" w:rsidR="004F2192" w:rsidRDefault="004F2192">
      <w:pPr>
        <w:widowControl/>
        <w:rPr>
          <w:lang w:eastAsia="en-AU" w:bidi="ar-SA"/>
        </w:rPr>
      </w:pPr>
      <w:r>
        <w:rPr>
          <w:noProof/>
          <w:lang w:eastAsia="en-GB" w:bidi="ar-SA"/>
        </w:rPr>
        <mc:AlternateContent>
          <mc:Choice Requires="wps">
            <w:drawing>
              <wp:anchor distT="0" distB="0" distL="114300" distR="114300" simplePos="0" relativeHeight="251658249" behindDoc="0" locked="0" layoutInCell="1" allowOverlap="1" wp14:anchorId="2DE1F6CA" wp14:editId="20698C2B">
                <wp:simplePos x="0" y="0"/>
                <wp:positionH relativeFrom="column">
                  <wp:posOffset>1747520</wp:posOffset>
                </wp:positionH>
                <wp:positionV relativeFrom="paragraph">
                  <wp:posOffset>-133985</wp:posOffset>
                </wp:positionV>
                <wp:extent cx="0" cy="216000"/>
                <wp:effectExtent l="76200" t="0" r="57150" b="50800"/>
                <wp:wrapNone/>
                <wp:docPr id="18" name="Straight Connector 18"/>
                <wp:cNvGraphicFramePr/>
                <a:graphic xmlns:a="http://schemas.openxmlformats.org/drawingml/2006/main">
                  <a:graphicData uri="http://schemas.microsoft.com/office/word/2010/wordprocessingShape">
                    <wps:wsp>
                      <wps:cNvCnPr/>
                      <wps:spPr>
                        <a:xfrm>
                          <a:off x="0" y="0"/>
                          <a:ext cx="0" cy="216000"/>
                        </a:xfrm>
                        <a:prstGeom prst="line">
                          <a:avLst/>
                        </a:prstGeom>
                        <a:ln>
                          <a:solidFill>
                            <a:schemeClr val="tx1">
                              <a:lumMod val="75000"/>
                              <a:lumOff val="2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0AC0AB" id="Straight Connector 18" o:spid="_x0000_s1026" style="position:absolute;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6pt,-10.55pt" to="137.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" strokecolor="#404040 [2429]">
                <v:stroke endarrow="block"/>
              </v:line>
            </w:pict>
          </mc:Fallback>
        </mc:AlternateContent>
      </w:r>
      <w:r>
        <w:rPr>
          <w:noProof/>
          <w:lang w:eastAsia="en-GB" w:bidi="ar-SA"/>
        </w:rPr>
        <mc:AlternateContent>
          <mc:Choice Requires="wpg">
            <w:drawing>
              <wp:anchor distT="0" distB="0" distL="114300" distR="114300" simplePos="0" relativeHeight="251658246" behindDoc="0" locked="0" layoutInCell="1" allowOverlap="1" wp14:anchorId="1C715E65" wp14:editId="36740782">
                <wp:simplePos x="0" y="0"/>
                <wp:positionH relativeFrom="column">
                  <wp:posOffset>147320</wp:posOffset>
                </wp:positionH>
                <wp:positionV relativeFrom="paragraph">
                  <wp:posOffset>32385</wp:posOffset>
                </wp:positionV>
                <wp:extent cx="5078095" cy="323850"/>
                <wp:effectExtent l="0" t="0" r="27305" b="19050"/>
                <wp:wrapNone/>
                <wp:docPr id="11" name="Group 11"/>
                <wp:cNvGraphicFramePr/>
                <a:graphic xmlns:a="http://schemas.openxmlformats.org/drawingml/2006/main">
                  <a:graphicData uri="http://schemas.microsoft.com/office/word/2010/wordprocessingGroup">
                    <wpg:wgp>
                      <wpg:cNvGrpSpPr/>
                      <wpg:grpSpPr>
                        <a:xfrm>
                          <a:off x="0" y="0"/>
                          <a:ext cx="5078095" cy="323850"/>
                          <a:chOff x="0" y="0"/>
                          <a:chExt cx="5078095" cy="323850"/>
                        </a:xfrm>
                      </wpg:grpSpPr>
                      <wps:wsp>
                        <wps:cNvPr id="49" name="Rounded Rectangle 49"/>
                        <wps:cNvSpPr/>
                        <wps:spPr>
                          <a:xfrm>
                            <a:off x="0" y="0"/>
                            <a:ext cx="1163320" cy="323850"/>
                          </a:xfrm>
                          <a:prstGeom prst="round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92AA5" w14:textId="592DCBAD" w:rsidR="003B0180" w:rsidRPr="004F45FE" w:rsidRDefault="003B0180" w:rsidP="00562FEA">
                              <w:pPr>
                                <w:jc w:val="center"/>
                                <w:rPr>
                                  <w:b/>
                                  <w:color w:val="000000" w:themeColor="text1"/>
                                </w:rPr>
                              </w:pPr>
                              <w:r>
                                <w:rPr>
                                  <w:b/>
                                  <w:color w:val="000000" w:themeColor="text1"/>
                                </w:rPr>
                                <w:t>Host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ounded Rectangle 54"/>
                        <wps:cNvSpPr/>
                        <wps:spPr>
                          <a:xfrm>
                            <a:off x="2143125" y="0"/>
                            <a:ext cx="1276350" cy="323850"/>
                          </a:xfrm>
                          <a:prstGeom prst="roundRect">
                            <a:avLst/>
                          </a:prstGeom>
                          <a:solidFill>
                            <a:schemeClr val="accent3">
                              <a:lumMod val="20000"/>
                              <a:lumOff val="8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4C06DE" w14:textId="3A144361" w:rsidR="003B0180" w:rsidRPr="004F45FE" w:rsidRDefault="003B0180" w:rsidP="004F45FE">
                              <w:pPr>
                                <w:jc w:val="center"/>
                                <w:rPr>
                                  <w:b/>
                                  <w:color w:val="000000" w:themeColor="text1"/>
                                </w:rPr>
                              </w:pPr>
                              <w:r>
                                <w:rPr>
                                  <w:b/>
                                  <w:color w:val="000000" w:themeColor="text1"/>
                                </w:rPr>
                                <w:t>Pre-41SaM2-54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ounded Rectangle 55"/>
                        <wps:cNvSpPr/>
                        <wps:spPr>
                          <a:xfrm>
                            <a:off x="3914775" y="0"/>
                            <a:ext cx="1163320" cy="323850"/>
                          </a:xfrm>
                          <a:prstGeom prst="roundRect">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4D5E2" w14:textId="3D806DA8" w:rsidR="003B0180" w:rsidRPr="00C076F6" w:rsidRDefault="003B0180" w:rsidP="004F45FE">
                              <w:pPr>
                                <w:jc w:val="center"/>
                                <w:rPr>
                                  <w:b/>
                                  <w:color w:val="000000" w:themeColor="text1"/>
                                </w:rPr>
                              </w:pPr>
                              <w:r w:rsidRPr="00C076F6">
                                <w:rPr>
                                  <w:rFonts w:cs="Arial"/>
                                  <w:b/>
                                  <w:color w:val="000000" w:themeColor="text1"/>
                                </w:rPr>
                                <w:t>41SaM2-54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rot="16200000">
                            <a:off x="3676650" y="-5715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rot="16200000">
                            <a:off x="1343025" y="19050"/>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rot="16200000">
                            <a:off x="1638300" y="19050"/>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rot="16200000">
                            <a:off x="1943100" y="19050"/>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C715E65" id="Group 11" o:spid="_x0000_s1040" style="position:absolute;margin-left:11.6pt;margin-top:2.55pt;width:399.85pt;height:25.5pt;z-index:251658246" coordsize="5078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">
                <v:roundrect id="Rounded Rectangle 49" o:spid="_x0000_s1041" style="position:absolute;width:11633;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" fillcolor="#d8d8d8 [2732]" strokecolor="#bfbfbf [2412]" strokeweight="2pt">
                  <v:textbox>
                    <w:txbxContent>
                      <w:p w14:paraId="4A292AA5" w14:textId="592DCBAD" w:rsidR="003B0180" w:rsidRPr="004F45FE" w:rsidRDefault="003B0180" w:rsidP="00562FEA">
                        <w:pPr>
                          <w:jc w:val="center"/>
                          <w:rPr>
                            <w:b/>
                            <w:color w:val="000000" w:themeColor="text1"/>
                          </w:rPr>
                        </w:pPr>
                        <w:r>
                          <w:rPr>
                            <w:b/>
                            <w:color w:val="000000" w:themeColor="text1"/>
                          </w:rPr>
                          <w:t>Host</w:t>
                        </w:r>
                      </w:p>
                    </w:txbxContent>
                  </v:textbox>
                </v:roundrect>
                <v:roundrect id="Rounded Rectangle 54" o:spid="_x0000_s1042" style="position:absolute;left:21431;width:12763;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" fillcolor="#eaf1dd [662]" strokecolor="#c4bc96 [2414]" strokeweight="2pt">
                  <v:textbox>
                    <w:txbxContent>
                      <w:p w14:paraId="434C06DE" w14:textId="3A144361" w:rsidR="003B0180" w:rsidRPr="004F45FE" w:rsidRDefault="003B0180" w:rsidP="004F45FE">
                        <w:pPr>
                          <w:jc w:val="center"/>
                          <w:rPr>
                            <w:b/>
                            <w:color w:val="000000" w:themeColor="text1"/>
                          </w:rPr>
                        </w:pPr>
                        <w:r>
                          <w:rPr>
                            <w:b/>
                            <w:color w:val="000000" w:themeColor="text1"/>
                          </w:rPr>
                          <w:t>Pre-41SaM2-54</w:t>
                        </w:r>
                      </w:p>
                    </w:txbxContent>
                  </v:textbox>
                </v:roundrect>
                <v:roundrect id="Rounded Rectangle 55" o:spid="_x0000_s1043" style="position:absolute;left:39147;width:11633;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" fillcolor="#c6d9f1 [671]" strokecolor="#8db3e2 [1311]" strokeweight="2pt">
                  <v:textbox>
                    <w:txbxContent>
                      <w:p w14:paraId="33E4D5E2" w14:textId="3D806DA8" w:rsidR="003B0180" w:rsidRPr="00C076F6" w:rsidRDefault="003B0180" w:rsidP="004F45FE">
                        <w:pPr>
                          <w:jc w:val="center"/>
                          <w:rPr>
                            <w:b/>
                            <w:color w:val="000000" w:themeColor="text1"/>
                          </w:rPr>
                        </w:pPr>
                        <w:r w:rsidRPr="00C076F6">
                          <w:rPr>
                            <w:rFonts w:cs="Arial"/>
                            <w:b/>
                            <w:color w:val="000000" w:themeColor="text1"/>
                          </w:rPr>
                          <w:t>41SaM2-54</w:t>
                        </w:r>
                      </w:p>
                    </w:txbxContent>
                  </v:textbox>
                </v:roundrect>
                <v:shapetype id="_x0000_t32" coordsize="21600,21600" o:spt="32" o:oned="t" path="m,l21600,21600e" filled="f">
                  <v:path arrowok="t" fillok="f" o:connecttype="none"/>
                  <o:lock v:ext="edit" shapetype="t"/>
                </v:shapetype>
                <v:shape id="Straight Arrow Connector 4" o:spid="_x0000_s1044" type="#_x0000_t32" style="position:absolute;left:36766;top:-572;width:0;height:438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" strokecolor="black [3040]">
                  <v:stroke endarrow="block"/>
                </v:shape>
                <v:shape id="Straight Arrow Connector 6" o:spid="_x0000_s1045" type="#_x0000_t32" style="position:absolute;left:13430;top:189;width:0;height:287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" strokecolor="black [3040]">
                  <v:stroke endarrow="block"/>
                </v:shape>
                <v:shape id="Straight Arrow Connector 9" o:spid="_x0000_s1046" type="#_x0000_t32" style="position:absolute;left:16383;top:189;width:0;height:287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" strokecolor="black [3040]">
                  <v:stroke endarrow="block"/>
                </v:shape>
                <v:shape id="Straight Arrow Connector 10" o:spid="_x0000_s1047" type="#_x0000_t32" style="position:absolute;left:19431;top:189;width:0;height:287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" strokecolor="black [3040]">
                  <v:stroke endarrow="block"/>
                </v:shape>
              </v:group>
            </w:pict>
          </mc:Fallback>
        </mc:AlternateContent>
      </w:r>
    </w:p>
    <w:p w14:paraId="55780FD4" w14:textId="77777777" w:rsidR="004F2192" w:rsidRDefault="004F2192">
      <w:pPr>
        <w:widowControl/>
        <w:rPr>
          <w:lang w:eastAsia="en-AU" w:bidi="ar-SA"/>
        </w:rPr>
      </w:pPr>
    </w:p>
    <w:p w14:paraId="6F9310E5" w14:textId="77777777" w:rsidR="004F2192" w:rsidRDefault="004F2192" w:rsidP="00B777F5">
      <w:pPr>
        <w:widowControl/>
        <w:rPr>
          <w:i/>
          <w:lang w:eastAsia="en-AU" w:bidi="ar-SA"/>
        </w:rPr>
      </w:pPr>
    </w:p>
    <w:p w14:paraId="292E31D0" w14:textId="77777777" w:rsidR="004F2192" w:rsidRDefault="004F2192" w:rsidP="00B777F5">
      <w:pPr>
        <w:widowControl/>
        <w:rPr>
          <w:b/>
          <w:i/>
          <w:lang w:eastAsia="en-AU" w:bidi="ar-SA"/>
        </w:rPr>
      </w:pPr>
    </w:p>
    <w:p w14:paraId="7554306D" w14:textId="5C780828" w:rsidR="004F45FE" w:rsidRPr="00B777F5" w:rsidRDefault="00B777F5" w:rsidP="00B777F5">
      <w:pPr>
        <w:widowControl/>
        <w:rPr>
          <w:i/>
          <w:lang w:eastAsia="en-AU" w:bidi="ar-SA"/>
        </w:rPr>
      </w:pPr>
      <w:r w:rsidRPr="00B777F5">
        <w:rPr>
          <w:b/>
          <w:i/>
          <w:lang w:eastAsia="en-AU" w:bidi="ar-SA"/>
        </w:rPr>
        <w:t>F</w:t>
      </w:r>
      <w:r w:rsidR="00F16E53" w:rsidRPr="00B777F5">
        <w:rPr>
          <w:b/>
          <w:i/>
          <w:lang w:eastAsia="en-AU" w:bidi="ar-SA"/>
        </w:rPr>
        <w:t xml:space="preserve">igure </w:t>
      </w:r>
      <w:r w:rsidR="00FC2ED7">
        <w:rPr>
          <w:b/>
          <w:i/>
          <w:lang w:eastAsia="en-AU" w:bidi="ar-SA"/>
        </w:rPr>
        <w:t>3</w:t>
      </w:r>
      <w:r w:rsidR="00F16E53" w:rsidRPr="00B777F5">
        <w:rPr>
          <w:i/>
          <w:lang w:eastAsia="en-AU" w:bidi="ar-SA"/>
        </w:rPr>
        <w:t>: Outline of the steps used to generate the final production strain 41SaM2-54.</w:t>
      </w:r>
    </w:p>
    <w:p w14:paraId="273B4984" w14:textId="0A6DD87E" w:rsidR="00CA3849" w:rsidRDefault="00CA3849" w:rsidP="00BD59CB">
      <w:pPr>
        <w:pStyle w:val="Heading3"/>
      </w:pPr>
      <w:bookmarkStart w:id="43" w:name="_Toc498940972"/>
      <w:bookmarkStart w:id="44" w:name="_Toc499282445"/>
      <w:bookmarkStart w:id="45" w:name="_Toc5629738"/>
      <w:r>
        <w:t>3.3.2</w:t>
      </w:r>
      <w:r w:rsidR="0035149D">
        <w:tab/>
      </w:r>
      <w:r>
        <w:t>Characterisation of inserted DNA</w:t>
      </w:r>
      <w:bookmarkEnd w:id="43"/>
      <w:bookmarkEnd w:id="44"/>
      <w:bookmarkEnd w:id="45"/>
    </w:p>
    <w:p w14:paraId="21B3FD54" w14:textId="4E0B5346" w:rsidR="00D16BA9" w:rsidRDefault="00505AC5" w:rsidP="00505AC5">
      <w:pPr>
        <w:rPr>
          <w:rFonts w:cs="Arial"/>
          <w:color w:val="000000" w:themeColor="text1"/>
        </w:rPr>
      </w:pPr>
      <w:r w:rsidRPr="00D52D3B">
        <w:rPr>
          <w:rFonts w:cs="Arial"/>
          <w:color w:val="000000" w:themeColor="text1"/>
        </w:rPr>
        <w:t>Southern blotting was performed on</w:t>
      </w:r>
      <w:r w:rsidR="00A60AE1">
        <w:rPr>
          <w:rFonts w:cs="Arial"/>
          <w:color w:val="000000" w:themeColor="text1"/>
        </w:rPr>
        <w:t xml:space="preserve"> genomic DNA extracted from </w:t>
      </w:r>
      <w:r w:rsidR="008F791C">
        <w:rPr>
          <w:rFonts w:cs="Arial"/>
          <w:color w:val="000000" w:themeColor="text1"/>
        </w:rPr>
        <w:t xml:space="preserve">the </w:t>
      </w:r>
      <w:r w:rsidR="00A60AE1">
        <w:rPr>
          <w:rFonts w:cs="Arial"/>
          <w:color w:val="000000" w:themeColor="text1"/>
        </w:rPr>
        <w:t>41SaM2-54</w:t>
      </w:r>
      <w:r>
        <w:rPr>
          <w:rFonts w:cs="Arial"/>
          <w:color w:val="000000" w:themeColor="text1"/>
        </w:rPr>
        <w:t xml:space="preserve"> </w:t>
      </w:r>
      <w:r w:rsidRPr="00D52D3B">
        <w:rPr>
          <w:rFonts w:cs="Arial"/>
          <w:color w:val="000000" w:themeColor="text1"/>
        </w:rPr>
        <w:t xml:space="preserve">and </w:t>
      </w:r>
      <w:r w:rsidR="004F2192">
        <w:rPr>
          <w:rFonts w:cs="Arial"/>
          <w:color w:val="000000" w:themeColor="text1"/>
        </w:rPr>
        <w:t>host strains</w:t>
      </w:r>
      <w:r>
        <w:rPr>
          <w:rFonts w:cs="Arial"/>
          <w:color w:val="000000" w:themeColor="text1"/>
        </w:rPr>
        <w:t xml:space="preserve"> </w:t>
      </w:r>
      <w:r w:rsidR="00A60AE1">
        <w:rPr>
          <w:rFonts w:cs="Arial"/>
          <w:color w:val="000000" w:themeColor="text1"/>
        </w:rPr>
        <w:t>that had been</w:t>
      </w:r>
      <w:r>
        <w:rPr>
          <w:rFonts w:cs="Arial"/>
          <w:color w:val="000000" w:themeColor="text1"/>
        </w:rPr>
        <w:t xml:space="preserve"> digested with various restriction enzymes</w:t>
      </w:r>
      <w:r w:rsidRPr="00D52D3B">
        <w:rPr>
          <w:rFonts w:cs="Arial"/>
          <w:color w:val="000000" w:themeColor="text1"/>
        </w:rPr>
        <w:t xml:space="preserve">. </w:t>
      </w:r>
      <w:r>
        <w:rPr>
          <w:rFonts w:cs="Arial"/>
          <w:color w:val="000000" w:themeColor="text1"/>
        </w:rPr>
        <w:t>H</w:t>
      </w:r>
      <w:r w:rsidRPr="00D52D3B">
        <w:rPr>
          <w:rFonts w:cs="Arial"/>
          <w:color w:val="000000" w:themeColor="text1"/>
        </w:rPr>
        <w:t>ybridis</w:t>
      </w:r>
      <w:r>
        <w:rPr>
          <w:rFonts w:cs="Arial"/>
          <w:color w:val="000000" w:themeColor="text1"/>
        </w:rPr>
        <w:t>ation</w:t>
      </w:r>
      <w:r w:rsidRPr="00D52D3B">
        <w:rPr>
          <w:rFonts w:cs="Arial"/>
          <w:color w:val="000000" w:themeColor="text1"/>
        </w:rPr>
        <w:t xml:space="preserve"> with a probe </w:t>
      </w:r>
      <w:r>
        <w:rPr>
          <w:rFonts w:cs="Arial"/>
          <w:color w:val="000000" w:themeColor="text1"/>
        </w:rPr>
        <w:t xml:space="preserve">targeting the </w:t>
      </w:r>
      <w:r w:rsidRPr="00505AC5">
        <w:rPr>
          <w:rFonts w:cs="Arial"/>
          <w:i/>
          <w:color w:val="000000" w:themeColor="text1"/>
        </w:rPr>
        <w:t>amgGT</w:t>
      </w:r>
      <w:r>
        <w:rPr>
          <w:rFonts w:cs="Arial"/>
          <w:color w:val="000000" w:themeColor="text1"/>
        </w:rPr>
        <w:t xml:space="preserve"> gene</w:t>
      </w:r>
      <w:r w:rsidRPr="00D52D3B">
        <w:rPr>
          <w:rFonts w:cs="Arial"/>
          <w:color w:val="000000" w:themeColor="text1"/>
        </w:rPr>
        <w:t xml:space="preserve"> </w:t>
      </w:r>
      <w:r>
        <w:rPr>
          <w:rFonts w:cs="Arial"/>
          <w:color w:val="000000" w:themeColor="text1"/>
        </w:rPr>
        <w:t xml:space="preserve">showed </w:t>
      </w:r>
      <w:r w:rsidR="007846A2" w:rsidRPr="00D16BA9">
        <w:rPr>
          <w:rFonts w:cs="Arial"/>
          <w:color w:val="000000" w:themeColor="text1"/>
        </w:rPr>
        <w:t>multiple</w:t>
      </w:r>
      <w:r w:rsidRPr="00D52D3B">
        <w:rPr>
          <w:rFonts w:cs="Arial"/>
          <w:color w:val="000000" w:themeColor="text1"/>
        </w:rPr>
        <w:t xml:space="preserve"> </w:t>
      </w:r>
      <w:r w:rsidR="007846A2">
        <w:rPr>
          <w:rFonts w:cs="Arial"/>
          <w:color w:val="000000" w:themeColor="text1"/>
        </w:rPr>
        <w:t xml:space="preserve">full-length </w:t>
      </w:r>
      <w:r w:rsidRPr="00D52D3B">
        <w:rPr>
          <w:rFonts w:cs="Arial"/>
          <w:color w:val="000000" w:themeColor="text1"/>
        </w:rPr>
        <w:t>insert</w:t>
      </w:r>
      <w:r w:rsidR="007846A2">
        <w:rPr>
          <w:rFonts w:cs="Arial"/>
          <w:color w:val="000000" w:themeColor="text1"/>
        </w:rPr>
        <w:t>s</w:t>
      </w:r>
      <w:r w:rsidRPr="00D52D3B">
        <w:rPr>
          <w:rFonts w:cs="Arial"/>
          <w:color w:val="000000" w:themeColor="text1"/>
        </w:rPr>
        <w:t xml:space="preserve"> ha</w:t>
      </w:r>
      <w:r w:rsidR="007846A2">
        <w:rPr>
          <w:rFonts w:cs="Arial"/>
          <w:color w:val="000000" w:themeColor="text1"/>
        </w:rPr>
        <w:t>d</w:t>
      </w:r>
      <w:r w:rsidRPr="00D52D3B">
        <w:rPr>
          <w:rFonts w:cs="Arial"/>
          <w:color w:val="000000" w:themeColor="text1"/>
        </w:rPr>
        <w:t xml:space="preserve"> been integrated into </w:t>
      </w:r>
      <w:r>
        <w:rPr>
          <w:rFonts w:cs="Arial"/>
          <w:color w:val="000000" w:themeColor="text1"/>
        </w:rPr>
        <w:t>41SaM2-54</w:t>
      </w:r>
      <w:r w:rsidRPr="00D52D3B">
        <w:rPr>
          <w:rFonts w:cs="Arial"/>
          <w:color w:val="000000" w:themeColor="text1"/>
        </w:rPr>
        <w:t xml:space="preserve">. </w:t>
      </w:r>
      <w:r w:rsidR="00D16BA9">
        <w:rPr>
          <w:rFonts w:cs="Arial"/>
          <w:color w:val="000000" w:themeColor="text1"/>
        </w:rPr>
        <w:t xml:space="preserve">The results also showed that some of the insertions had undergone rearrangement, leading to some tandem repeats of the expression cassette. </w:t>
      </w:r>
    </w:p>
    <w:p w14:paraId="583FD0E6" w14:textId="77777777" w:rsidR="00D16BA9" w:rsidRDefault="00D16BA9" w:rsidP="00505AC5">
      <w:pPr>
        <w:rPr>
          <w:rFonts w:cs="Arial"/>
          <w:color w:val="000000" w:themeColor="text1"/>
        </w:rPr>
      </w:pPr>
    </w:p>
    <w:p w14:paraId="1F89043A" w14:textId="1C33E7C1" w:rsidR="00505AC5" w:rsidRDefault="00505AC5" w:rsidP="00505AC5">
      <w:pPr>
        <w:rPr>
          <w:rFonts w:cs="Arial"/>
          <w:color w:val="000000" w:themeColor="text1"/>
        </w:rPr>
      </w:pPr>
      <w:r>
        <w:rPr>
          <w:rFonts w:cs="Arial"/>
          <w:color w:val="000000" w:themeColor="text1"/>
        </w:rPr>
        <w:t>H</w:t>
      </w:r>
      <w:r w:rsidRPr="00D52D3B">
        <w:rPr>
          <w:rFonts w:cs="Arial"/>
          <w:color w:val="000000" w:themeColor="text1"/>
        </w:rPr>
        <w:t>ybridis</w:t>
      </w:r>
      <w:r>
        <w:rPr>
          <w:rFonts w:cs="Arial"/>
          <w:color w:val="000000" w:themeColor="text1"/>
        </w:rPr>
        <w:t>ation</w:t>
      </w:r>
      <w:r w:rsidRPr="00D52D3B">
        <w:rPr>
          <w:rFonts w:cs="Arial"/>
          <w:color w:val="000000" w:themeColor="text1"/>
        </w:rPr>
        <w:t xml:space="preserve"> with a probe </w:t>
      </w:r>
      <w:r>
        <w:rPr>
          <w:rFonts w:cs="Arial"/>
          <w:color w:val="000000" w:themeColor="text1"/>
        </w:rPr>
        <w:t xml:space="preserve">targeting the </w:t>
      </w:r>
      <w:r w:rsidRPr="00505AC5">
        <w:rPr>
          <w:rFonts w:cs="Arial"/>
          <w:i/>
          <w:color w:val="000000" w:themeColor="text1"/>
        </w:rPr>
        <w:t>asaA</w:t>
      </w:r>
      <w:r>
        <w:rPr>
          <w:rFonts w:cs="Arial"/>
          <w:color w:val="000000" w:themeColor="text1"/>
        </w:rPr>
        <w:t xml:space="preserve"> gene</w:t>
      </w:r>
      <w:r w:rsidR="00852697">
        <w:rPr>
          <w:rFonts w:cs="Arial"/>
          <w:color w:val="000000" w:themeColor="text1"/>
        </w:rPr>
        <w:t xml:space="preserve"> produced two different banding patterns that allowed differentiation of the endogenous and introduced </w:t>
      </w:r>
      <w:r w:rsidR="00852697" w:rsidRPr="00852697">
        <w:rPr>
          <w:rFonts w:cs="Arial"/>
          <w:color w:val="000000" w:themeColor="text1"/>
        </w:rPr>
        <w:t>gene</w:t>
      </w:r>
      <w:r w:rsidR="00852697">
        <w:rPr>
          <w:rFonts w:cs="Arial"/>
          <w:color w:val="000000" w:themeColor="text1"/>
        </w:rPr>
        <w:t>s</w:t>
      </w:r>
      <w:r w:rsidR="00852697" w:rsidRPr="00852697">
        <w:rPr>
          <w:rFonts w:cs="Arial"/>
          <w:color w:val="000000" w:themeColor="text1"/>
        </w:rPr>
        <w:t>.</w:t>
      </w:r>
      <w:r w:rsidRPr="00852697">
        <w:rPr>
          <w:rFonts w:cs="Arial"/>
          <w:color w:val="000000" w:themeColor="text1"/>
        </w:rPr>
        <w:t xml:space="preserve"> </w:t>
      </w:r>
      <w:r w:rsidR="00852697" w:rsidRPr="00852697">
        <w:rPr>
          <w:rFonts w:cs="Arial"/>
          <w:color w:val="000000" w:themeColor="text1"/>
        </w:rPr>
        <w:t>T</w:t>
      </w:r>
      <w:r w:rsidRPr="00852697">
        <w:rPr>
          <w:rFonts w:cs="Arial"/>
          <w:color w:val="000000" w:themeColor="text1"/>
        </w:rPr>
        <w:t xml:space="preserve">he endogenous gene </w:t>
      </w:r>
      <w:r w:rsidR="00852697" w:rsidRPr="00852697">
        <w:rPr>
          <w:rFonts w:cs="Arial"/>
          <w:color w:val="000000" w:themeColor="text1"/>
        </w:rPr>
        <w:t xml:space="preserve">was shown to be present </w:t>
      </w:r>
      <w:r w:rsidRPr="00852697">
        <w:rPr>
          <w:rFonts w:cs="Arial"/>
          <w:color w:val="000000" w:themeColor="text1"/>
        </w:rPr>
        <w:t xml:space="preserve">in both </w:t>
      </w:r>
      <w:r w:rsidR="004F2192">
        <w:rPr>
          <w:rFonts w:cs="Arial"/>
          <w:color w:val="000000" w:themeColor="text1"/>
        </w:rPr>
        <w:t>the host</w:t>
      </w:r>
      <w:r w:rsidRPr="00852697">
        <w:rPr>
          <w:rFonts w:cs="Arial"/>
          <w:color w:val="000000" w:themeColor="text1"/>
        </w:rPr>
        <w:t xml:space="preserve"> and 41SaM2-54</w:t>
      </w:r>
      <w:r w:rsidR="00852697" w:rsidRPr="00852697">
        <w:rPr>
          <w:rFonts w:cs="Arial"/>
          <w:color w:val="000000" w:themeColor="text1"/>
        </w:rPr>
        <w:t xml:space="preserve">, whereas </w:t>
      </w:r>
      <w:r w:rsidR="00A60AE1" w:rsidRPr="00852697">
        <w:rPr>
          <w:rFonts w:cs="Arial"/>
          <w:color w:val="000000" w:themeColor="text1"/>
        </w:rPr>
        <w:t>the introduced</w:t>
      </w:r>
      <w:r w:rsidRPr="00852697">
        <w:rPr>
          <w:rFonts w:cs="Arial"/>
          <w:color w:val="000000" w:themeColor="text1"/>
        </w:rPr>
        <w:t xml:space="preserve"> gene was </w:t>
      </w:r>
      <w:r w:rsidR="00852697" w:rsidRPr="00852697">
        <w:rPr>
          <w:rFonts w:cs="Arial"/>
          <w:color w:val="000000" w:themeColor="text1"/>
        </w:rPr>
        <w:t xml:space="preserve">only </w:t>
      </w:r>
      <w:r w:rsidR="00A60AE1" w:rsidRPr="00852697">
        <w:rPr>
          <w:rFonts w:cs="Arial"/>
          <w:color w:val="000000" w:themeColor="text1"/>
        </w:rPr>
        <w:t>present</w:t>
      </w:r>
      <w:r w:rsidR="00A54151" w:rsidRPr="00852697">
        <w:rPr>
          <w:rFonts w:cs="Arial"/>
          <w:color w:val="000000" w:themeColor="text1"/>
        </w:rPr>
        <w:t xml:space="preserve"> in 41Sam</w:t>
      </w:r>
      <w:r w:rsidRPr="00852697">
        <w:rPr>
          <w:rFonts w:cs="Arial"/>
          <w:color w:val="000000" w:themeColor="text1"/>
        </w:rPr>
        <w:t>2-54</w:t>
      </w:r>
      <w:r w:rsidR="00852697" w:rsidRPr="00852697">
        <w:rPr>
          <w:rFonts w:cs="Arial"/>
          <w:color w:val="000000" w:themeColor="text1"/>
        </w:rPr>
        <w:t>.</w:t>
      </w:r>
      <w:r w:rsidR="00852697">
        <w:rPr>
          <w:rFonts w:cs="Arial"/>
          <w:color w:val="000000" w:themeColor="text1"/>
        </w:rPr>
        <w:t xml:space="preserve"> The banding size for the introduced gene fragment also confirmed that the full-length product had been inserted.</w:t>
      </w:r>
    </w:p>
    <w:p w14:paraId="6673E9C7" w14:textId="77777777" w:rsidR="00505AC5" w:rsidRDefault="00505AC5" w:rsidP="00505AC5">
      <w:pPr>
        <w:rPr>
          <w:rFonts w:cs="Arial"/>
          <w:color w:val="000000" w:themeColor="text1"/>
        </w:rPr>
      </w:pPr>
    </w:p>
    <w:p w14:paraId="7CEFFB98" w14:textId="08B57E16" w:rsidR="005E3364" w:rsidRDefault="000D21FF" w:rsidP="005E3364">
      <w:pPr>
        <w:rPr>
          <w:rFonts w:cs="Arial"/>
          <w:color w:val="000000" w:themeColor="text1"/>
        </w:rPr>
      </w:pPr>
      <w:r>
        <w:rPr>
          <w:rFonts w:cs="Arial"/>
          <w:color w:val="000000" w:themeColor="text1"/>
        </w:rPr>
        <w:t xml:space="preserve">Southern blotting was also performed on </w:t>
      </w:r>
      <w:r w:rsidR="004F2192">
        <w:rPr>
          <w:rFonts w:cs="Arial"/>
          <w:color w:val="000000" w:themeColor="text1"/>
        </w:rPr>
        <w:t>a range of intermediate strains</w:t>
      </w:r>
      <w:r>
        <w:rPr>
          <w:rFonts w:cs="Arial"/>
          <w:color w:val="000000" w:themeColor="text1"/>
        </w:rPr>
        <w:t xml:space="preserve"> to examine the disruption of the oxalic acid gene. Each clone generated a distinct banding pattern that confirmed the gene was disrupted.</w:t>
      </w:r>
    </w:p>
    <w:p w14:paraId="124376D9" w14:textId="6C6CCF7E" w:rsidR="00A077AF" w:rsidRDefault="00A077AF" w:rsidP="005E3364">
      <w:pPr>
        <w:rPr>
          <w:rFonts w:cs="Arial"/>
          <w:color w:val="000000" w:themeColor="text1"/>
        </w:rPr>
      </w:pPr>
    </w:p>
    <w:p w14:paraId="2560FEE0" w14:textId="53940D40" w:rsidR="00A077AF" w:rsidRDefault="00A54151" w:rsidP="005E3364">
      <w:pPr>
        <w:rPr>
          <w:rFonts w:cs="Arial"/>
          <w:color w:val="000000" w:themeColor="text1"/>
        </w:rPr>
      </w:pPr>
      <w:r>
        <w:rPr>
          <w:rFonts w:cs="Arial"/>
          <w:color w:val="000000" w:themeColor="text1"/>
        </w:rPr>
        <w:t xml:space="preserve">A </w:t>
      </w:r>
      <w:r w:rsidR="00852697">
        <w:rPr>
          <w:rFonts w:cs="Arial"/>
          <w:color w:val="000000" w:themeColor="text1"/>
        </w:rPr>
        <w:t xml:space="preserve">quantitative </w:t>
      </w:r>
      <w:r w:rsidR="00E13522">
        <w:rPr>
          <w:rFonts w:cs="Arial"/>
          <w:color w:val="000000" w:themeColor="text1"/>
        </w:rPr>
        <w:t xml:space="preserve">PCR </w:t>
      </w:r>
      <w:r>
        <w:rPr>
          <w:rFonts w:cs="Arial"/>
          <w:color w:val="000000" w:themeColor="text1"/>
        </w:rPr>
        <w:t>method</w:t>
      </w:r>
      <w:r w:rsidR="00E13522">
        <w:rPr>
          <w:rFonts w:cs="Arial"/>
          <w:color w:val="000000" w:themeColor="text1"/>
        </w:rPr>
        <w:t xml:space="preserve"> was used</w:t>
      </w:r>
      <w:r w:rsidR="00A077AF">
        <w:rPr>
          <w:rFonts w:cs="Arial"/>
          <w:color w:val="000000" w:themeColor="text1"/>
        </w:rPr>
        <w:t xml:space="preserve"> to determine </w:t>
      </w:r>
      <w:r w:rsidR="00852697">
        <w:rPr>
          <w:rFonts w:cs="Arial"/>
          <w:color w:val="000000" w:themeColor="text1"/>
        </w:rPr>
        <w:t>how many copies of the insert were present in the genome of 41AaM2-54.</w:t>
      </w:r>
      <w:r w:rsidR="00A077AF">
        <w:rPr>
          <w:rFonts w:cs="Arial"/>
          <w:color w:val="000000" w:themeColor="text1"/>
        </w:rPr>
        <w:t xml:space="preserve"> </w:t>
      </w:r>
      <w:r w:rsidR="00852697">
        <w:rPr>
          <w:rFonts w:cs="Arial"/>
          <w:color w:val="000000" w:themeColor="text1"/>
        </w:rPr>
        <w:t xml:space="preserve">Using a primer-probe combination that targeted the terminator region of the </w:t>
      </w:r>
      <w:r w:rsidR="00852697" w:rsidRPr="00852697">
        <w:rPr>
          <w:rFonts w:cs="Arial"/>
          <w:i/>
          <w:color w:val="000000" w:themeColor="text1"/>
        </w:rPr>
        <w:t>amgGT</w:t>
      </w:r>
      <w:r w:rsidR="00852697">
        <w:rPr>
          <w:rFonts w:cs="Arial"/>
          <w:color w:val="000000" w:themeColor="text1"/>
        </w:rPr>
        <w:t xml:space="preserve"> gene, the data </w:t>
      </w:r>
      <w:r w:rsidR="00A077AF">
        <w:rPr>
          <w:rFonts w:cs="Arial"/>
          <w:color w:val="000000" w:themeColor="text1"/>
        </w:rPr>
        <w:t>show</w:t>
      </w:r>
      <w:r w:rsidR="00E13522">
        <w:rPr>
          <w:rFonts w:cs="Arial"/>
          <w:color w:val="000000" w:themeColor="text1"/>
        </w:rPr>
        <w:t>ed</w:t>
      </w:r>
      <w:r w:rsidR="00A077AF">
        <w:rPr>
          <w:rFonts w:cs="Arial"/>
          <w:color w:val="000000" w:themeColor="text1"/>
        </w:rPr>
        <w:t xml:space="preserve"> multiple </w:t>
      </w:r>
      <w:r w:rsidR="00E13522">
        <w:rPr>
          <w:rFonts w:cs="Arial"/>
          <w:color w:val="000000" w:themeColor="text1"/>
        </w:rPr>
        <w:t xml:space="preserve">copies of </w:t>
      </w:r>
      <w:r w:rsidR="004F2192">
        <w:rPr>
          <w:rFonts w:cs="Arial"/>
          <w:color w:val="000000" w:themeColor="text1"/>
        </w:rPr>
        <w:t>the gene were</w:t>
      </w:r>
      <w:r w:rsidR="00852697">
        <w:rPr>
          <w:rFonts w:cs="Arial"/>
          <w:color w:val="000000" w:themeColor="text1"/>
        </w:rPr>
        <w:t xml:space="preserve"> present</w:t>
      </w:r>
      <w:r>
        <w:rPr>
          <w:rFonts w:cs="Arial"/>
          <w:color w:val="000000" w:themeColor="text1"/>
        </w:rPr>
        <w:t>.</w:t>
      </w:r>
      <w:r w:rsidR="00852697">
        <w:rPr>
          <w:rFonts w:cs="Arial"/>
          <w:color w:val="000000" w:themeColor="text1"/>
        </w:rPr>
        <w:t xml:space="preserve"> Using a primer-probe combination </w:t>
      </w:r>
      <w:r w:rsidR="006A132A">
        <w:rPr>
          <w:rFonts w:cs="Arial"/>
          <w:color w:val="000000" w:themeColor="text1"/>
        </w:rPr>
        <w:t xml:space="preserve">specific </w:t>
      </w:r>
      <w:r w:rsidR="00852697">
        <w:rPr>
          <w:rFonts w:cs="Arial"/>
          <w:color w:val="000000" w:themeColor="text1"/>
        </w:rPr>
        <w:t xml:space="preserve">for the </w:t>
      </w:r>
      <w:r w:rsidR="00852697" w:rsidRPr="004A44F1">
        <w:rPr>
          <w:rFonts w:cs="Arial"/>
          <w:i/>
          <w:color w:val="000000" w:themeColor="text1"/>
        </w:rPr>
        <w:t>asaA</w:t>
      </w:r>
      <w:r w:rsidR="00852697">
        <w:rPr>
          <w:rFonts w:cs="Arial"/>
          <w:color w:val="000000" w:themeColor="text1"/>
        </w:rPr>
        <w:t xml:space="preserve"> gene, </w:t>
      </w:r>
      <w:r w:rsidR="006A132A">
        <w:rPr>
          <w:rFonts w:cs="Arial"/>
          <w:color w:val="000000" w:themeColor="text1"/>
        </w:rPr>
        <w:t xml:space="preserve">multiple inserts were </w:t>
      </w:r>
      <w:r w:rsidR="008F791C">
        <w:rPr>
          <w:rFonts w:cs="Arial"/>
          <w:color w:val="000000" w:themeColor="text1"/>
        </w:rPr>
        <w:t xml:space="preserve">also </w:t>
      </w:r>
      <w:r w:rsidR="006A132A">
        <w:rPr>
          <w:rFonts w:cs="Arial"/>
          <w:color w:val="000000" w:themeColor="text1"/>
        </w:rPr>
        <w:t>identified.</w:t>
      </w:r>
    </w:p>
    <w:p w14:paraId="2423486D" w14:textId="51254672" w:rsidR="00E4237E" w:rsidRDefault="00E4237E" w:rsidP="005E3364">
      <w:pPr>
        <w:rPr>
          <w:rFonts w:cs="Arial"/>
          <w:color w:val="000000" w:themeColor="text1"/>
        </w:rPr>
      </w:pPr>
    </w:p>
    <w:p w14:paraId="1E0C5F34" w14:textId="716AF148" w:rsidR="00E4237E" w:rsidRPr="000D21FF" w:rsidRDefault="000A62C3" w:rsidP="005E3364">
      <w:pPr>
        <w:rPr>
          <w:rFonts w:cs="Arial"/>
          <w:color w:val="000000" w:themeColor="text1"/>
        </w:rPr>
      </w:pPr>
      <w:r>
        <w:rPr>
          <w:rFonts w:cs="Arial"/>
          <w:color w:val="000000" w:themeColor="text1"/>
        </w:rPr>
        <w:t>Next generation sequencing was performed on 41SaM2-54 to determine if the post-transformation exposure to co</w:t>
      </w:r>
      <w:r w:rsidR="004F2192">
        <w:rPr>
          <w:rFonts w:cs="Arial"/>
          <w:color w:val="000000" w:themeColor="text1"/>
        </w:rPr>
        <w:t>nventional mutagenesis resulted</w:t>
      </w:r>
      <w:r>
        <w:rPr>
          <w:rFonts w:cs="Arial"/>
          <w:color w:val="000000" w:themeColor="text1"/>
        </w:rPr>
        <w:t xml:space="preserve"> in changes to the </w:t>
      </w:r>
      <w:r w:rsidRPr="000A62C3">
        <w:rPr>
          <w:rFonts w:cs="Arial"/>
          <w:i/>
          <w:color w:val="000000" w:themeColor="text1"/>
        </w:rPr>
        <w:t>amgGT</w:t>
      </w:r>
      <w:r>
        <w:rPr>
          <w:rFonts w:cs="Arial"/>
          <w:color w:val="000000" w:themeColor="text1"/>
        </w:rPr>
        <w:t xml:space="preserve"> gene. T</w:t>
      </w:r>
      <w:r w:rsidR="007846A2">
        <w:rPr>
          <w:rFonts w:cs="Arial"/>
          <w:color w:val="000000" w:themeColor="text1"/>
        </w:rPr>
        <w:t>he results showed</w:t>
      </w:r>
      <w:r>
        <w:rPr>
          <w:rFonts w:cs="Arial"/>
          <w:color w:val="000000" w:themeColor="text1"/>
        </w:rPr>
        <w:t xml:space="preserve"> </w:t>
      </w:r>
      <w:r w:rsidR="007846A2">
        <w:rPr>
          <w:rFonts w:cs="Arial"/>
          <w:color w:val="000000" w:themeColor="text1"/>
        </w:rPr>
        <w:t xml:space="preserve">that the </w:t>
      </w:r>
      <w:r w:rsidR="007846A2" w:rsidRPr="007846A2">
        <w:rPr>
          <w:rFonts w:cs="Arial"/>
          <w:i/>
          <w:color w:val="000000" w:themeColor="text1"/>
        </w:rPr>
        <w:t>amgGT</w:t>
      </w:r>
      <w:r w:rsidR="007846A2">
        <w:rPr>
          <w:rFonts w:cs="Arial"/>
          <w:color w:val="000000" w:themeColor="text1"/>
        </w:rPr>
        <w:t xml:space="preserve"> gene present in 41SaM2-54 had the same sequence as the gene that was present in vectors A and B thus confirming that there were no </w:t>
      </w:r>
      <w:r w:rsidR="00A152D1">
        <w:rPr>
          <w:rFonts w:cs="Arial"/>
          <w:color w:val="000000" w:themeColor="text1"/>
        </w:rPr>
        <w:t xml:space="preserve">changes to the inserted gene </w:t>
      </w:r>
      <w:r w:rsidR="007846A2">
        <w:rPr>
          <w:rFonts w:cs="Arial"/>
          <w:color w:val="000000" w:themeColor="text1"/>
        </w:rPr>
        <w:t>arising from the mutagenesis process.</w:t>
      </w:r>
    </w:p>
    <w:p w14:paraId="55C7BDA7" w14:textId="393AFF6D" w:rsidR="00CA3849" w:rsidRDefault="0035149D" w:rsidP="00BD59CB">
      <w:pPr>
        <w:pStyle w:val="Heading3"/>
      </w:pPr>
      <w:bookmarkStart w:id="46" w:name="_Toc498940973"/>
      <w:bookmarkStart w:id="47" w:name="_Toc499282446"/>
      <w:bookmarkStart w:id="48" w:name="_Toc5629739"/>
      <w:r>
        <w:t>3.3.3</w:t>
      </w:r>
      <w:r>
        <w:tab/>
      </w:r>
      <w:r w:rsidR="00CA3849">
        <w:t>Genetic stability of the inserted gene</w:t>
      </w:r>
      <w:bookmarkEnd w:id="46"/>
      <w:bookmarkEnd w:id="47"/>
      <w:bookmarkEnd w:id="48"/>
    </w:p>
    <w:p w14:paraId="2765BF8E" w14:textId="6D633C6A" w:rsidR="005E3364" w:rsidRPr="00EF1CC2" w:rsidRDefault="00EF1CC2" w:rsidP="005E3364">
      <w:pPr>
        <w:rPr>
          <w:rFonts w:cs="Arial"/>
          <w:color w:val="000000" w:themeColor="text1"/>
        </w:rPr>
      </w:pPr>
      <w:r w:rsidRPr="00381E36">
        <w:rPr>
          <w:rFonts w:cs="Arial"/>
          <w:color w:val="000000" w:themeColor="text1"/>
        </w:rPr>
        <w:t xml:space="preserve">Southern blotting was performed on genomic DNA extracted from </w:t>
      </w:r>
      <w:r>
        <w:rPr>
          <w:rFonts w:cs="Arial"/>
          <w:color w:val="000000" w:themeColor="text1"/>
        </w:rPr>
        <w:t>cells obtained from the end of three distinct fermentation runs</w:t>
      </w:r>
      <w:r w:rsidR="008F791C">
        <w:rPr>
          <w:rFonts w:cs="Arial"/>
          <w:color w:val="000000" w:themeColor="text1"/>
        </w:rPr>
        <w:t>. As a control,</w:t>
      </w:r>
      <w:r w:rsidRPr="00381E36">
        <w:rPr>
          <w:rFonts w:cs="Arial"/>
          <w:color w:val="000000" w:themeColor="text1"/>
        </w:rPr>
        <w:t xml:space="preserve"> </w:t>
      </w:r>
      <w:r w:rsidR="008F791C">
        <w:rPr>
          <w:rFonts w:cs="Arial"/>
          <w:color w:val="000000" w:themeColor="text1"/>
        </w:rPr>
        <w:t xml:space="preserve">a </w:t>
      </w:r>
      <w:r>
        <w:rPr>
          <w:rFonts w:cs="Arial"/>
          <w:color w:val="000000" w:themeColor="text1"/>
        </w:rPr>
        <w:t>compar</w:t>
      </w:r>
      <w:r w:rsidR="008F791C">
        <w:rPr>
          <w:rFonts w:cs="Arial"/>
          <w:color w:val="000000" w:themeColor="text1"/>
        </w:rPr>
        <w:t>ison was ma</w:t>
      </w:r>
      <w:r>
        <w:rPr>
          <w:rFonts w:cs="Arial"/>
          <w:color w:val="000000" w:themeColor="text1"/>
        </w:rPr>
        <w:t>d</w:t>
      </w:r>
      <w:r w:rsidR="008F791C">
        <w:rPr>
          <w:rFonts w:cs="Arial"/>
          <w:color w:val="000000" w:themeColor="text1"/>
        </w:rPr>
        <w:t>e</w:t>
      </w:r>
      <w:r>
        <w:rPr>
          <w:rFonts w:cs="Arial"/>
          <w:color w:val="000000" w:themeColor="text1"/>
        </w:rPr>
        <w:t xml:space="preserve"> to a</w:t>
      </w:r>
      <w:r w:rsidR="008F791C">
        <w:rPr>
          <w:rFonts w:cs="Arial"/>
          <w:color w:val="000000" w:themeColor="text1"/>
        </w:rPr>
        <w:t>n</w:t>
      </w:r>
      <w:r>
        <w:rPr>
          <w:rFonts w:cs="Arial"/>
          <w:color w:val="000000" w:themeColor="text1"/>
        </w:rPr>
        <w:t xml:space="preserve"> </w:t>
      </w:r>
      <w:r w:rsidR="008F791C">
        <w:rPr>
          <w:rFonts w:cs="Arial"/>
          <w:color w:val="000000" w:themeColor="text1"/>
        </w:rPr>
        <w:t xml:space="preserve">early generation </w:t>
      </w:r>
      <w:r>
        <w:rPr>
          <w:rFonts w:cs="Arial"/>
          <w:color w:val="000000" w:themeColor="text1"/>
        </w:rPr>
        <w:t xml:space="preserve">master stock of the 41SaM2-54 </w:t>
      </w:r>
      <w:r w:rsidRPr="00381E36">
        <w:rPr>
          <w:rFonts w:cs="Arial"/>
          <w:color w:val="000000" w:themeColor="text1"/>
        </w:rPr>
        <w:t xml:space="preserve">strain. </w:t>
      </w:r>
      <w:r>
        <w:rPr>
          <w:rFonts w:cs="Arial"/>
          <w:color w:val="000000" w:themeColor="text1"/>
        </w:rPr>
        <w:t>After digestion of the DNA,</w:t>
      </w:r>
      <w:r w:rsidRPr="00381E36">
        <w:rPr>
          <w:rFonts w:cs="Arial"/>
          <w:color w:val="000000" w:themeColor="text1"/>
        </w:rPr>
        <w:t xml:space="preserve"> hybridisation </w:t>
      </w:r>
      <w:r w:rsidRPr="00381E36">
        <w:rPr>
          <w:rFonts w:cs="Arial"/>
          <w:color w:val="000000" w:themeColor="text1"/>
        </w:rPr>
        <w:lastRenderedPageBreak/>
        <w:t xml:space="preserve">with a probe </w:t>
      </w:r>
      <w:r>
        <w:rPr>
          <w:rFonts w:cs="Arial"/>
          <w:color w:val="000000" w:themeColor="text1"/>
        </w:rPr>
        <w:t xml:space="preserve">targeting the </w:t>
      </w:r>
      <w:r w:rsidRPr="001A592B">
        <w:rPr>
          <w:rFonts w:cs="Arial"/>
          <w:i/>
          <w:color w:val="000000" w:themeColor="text1"/>
        </w:rPr>
        <w:t xml:space="preserve">amgGT </w:t>
      </w:r>
      <w:r>
        <w:rPr>
          <w:rFonts w:cs="Arial"/>
          <w:color w:val="000000" w:themeColor="text1"/>
        </w:rPr>
        <w:t xml:space="preserve">gene showed </w:t>
      </w:r>
      <w:r w:rsidRPr="00381E36">
        <w:rPr>
          <w:rFonts w:cs="Arial"/>
          <w:color w:val="000000" w:themeColor="text1"/>
        </w:rPr>
        <w:t xml:space="preserve">consistent </w:t>
      </w:r>
      <w:r>
        <w:rPr>
          <w:rFonts w:cs="Arial"/>
          <w:color w:val="000000" w:themeColor="text1"/>
        </w:rPr>
        <w:t xml:space="preserve">presence across the four </w:t>
      </w:r>
      <w:r w:rsidRPr="00381E36">
        <w:rPr>
          <w:rFonts w:cs="Arial"/>
          <w:color w:val="000000" w:themeColor="text1"/>
        </w:rPr>
        <w:t>generations</w:t>
      </w:r>
      <w:r>
        <w:rPr>
          <w:rFonts w:cs="Arial"/>
          <w:color w:val="000000" w:themeColor="text1"/>
        </w:rPr>
        <w:t xml:space="preserve"> analysed</w:t>
      </w:r>
      <w:r w:rsidRPr="00381E36">
        <w:rPr>
          <w:rFonts w:cs="Arial"/>
          <w:color w:val="000000" w:themeColor="text1"/>
        </w:rPr>
        <w:t xml:space="preserve">, indicating the </w:t>
      </w:r>
      <w:r w:rsidR="00451BFF">
        <w:rPr>
          <w:rFonts w:cs="Arial"/>
          <w:color w:val="000000" w:themeColor="text1"/>
        </w:rPr>
        <w:t>glucoamylase</w:t>
      </w:r>
      <w:r>
        <w:rPr>
          <w:rFonts w:cs="Arial"/>
          <w:color w:val="000000" w:themeColor="text1"/>
        </w:rPr>
        <w:t xml:space="preserve"> gene was</w:t>
      </w:r>
      <w:r w:rsidRPr="00381E36">
        <w:rPr>
          <w:rFonts w:cs="Arial"/>
          <w:color w:val="000000" w:themeColor="text1"/>
        </w:rPr>
        <w:t xml:space="preserve"> stabl</w:t>
      </w:r>
      <w:r>
        <w:rPr>
          <w:rFonts w:cs="Arial"/>
          <w:color w:val="000000" w:themeColor="text1"/>
        </w:rPr>
        <w:t>y incorporated in the production strain.</w:t>
      </w:r>
    </w:p>
    <w:p w14:paraId="25D696AF" w14:textId="5EC0D379" w:rsidR="00CA3849" w:rsidRDefault="00CA3849">
      <w:pPr>
        <w:pStyle w:val="Heading2"/>
      </w:pPr>
      <w:bookmarkStart w:id="49" w:name="_Toc471740086"/>
      <w:bookmarkStart w:id="50" w:name="_Toc505255641"/>
      <w:bookmarkStart w:id="51" w:name="_Toc499282447"/>
      <w:bookmarkStart w:id="52" w:name="_Toc5629740"/>
      <w:r w:rsidRPr="00DD6B6A">
        <w:t>3.</w:t>
      </w:r>
      <w:r>
        <w:t>4</w:t>
      </w:r>
      <w:r w:rsidR="001E6A7B">
        <w:tab/>
      </w:r>
      <w:r>
        <w:t xml:space="preserve">Safety of </w:t>
      </w:r>
      <w:bookmarkEnd w:id="49"/>
      <w:bookmarkEnd w:id="50"/>
      <w:bookmarkEnd w:id="51"/>
      <w:r w:rsidR="00E61992">
        <w:t>glucoamylase</w:t>
      </w:r>
      <w:bookmarkEnd w:id="52"/>
    </w:p>
    <w:p w14:paraId="7FF37ACC" w14:textId="77777777" w:rsidR="00E61992" w:rsidRDefault="00E61992" w:rsidP="00E61992">
      <w:pPr>
        <w:rPr>
          <w:lang w:bidi="ar-SA"/>
        </w:rPr>
      </w:pPr>
      <w:r>
        <w:rPr>
          <w:lang w:bidi="ar-SA"/>
        </w:rPr>
        <w:t xml:space="preserve">In considering the safety of novel proteins it is important to consider that a large and diverse range of proteins are ingested as part of the normal human diet without any adverse effects. </w:t>
      </w:r>
    </w:p>
    <w:p w14:paraId="12632BFC" w14:textId="156C3CED" w:rsidR="00C15A6C" w:rsidRDefault="00E61992" w:rsidP="00E61992">
      <w:pPr>
        <w:rPr>
          <w:lang w:bidi="ar-SA"/>
        </w:rPr>
      </w:pPr>
      <w:r>
        <w:rPr>
          <w:lang w:bidi="ar-SA"/>
        </w:rPr>
        <w:t xml:space="preserve">Only a small number of dietary proteins have the potential to cause adverse health effects, because they have anti-nutrient properties or they can cause allergies in some consumers </w:t>
      </w:r>
      <w:r w:rsidRPr="00E001A9">
        <w:rPr>
          <w:lang w:bidi="ar-SA"/>
        </w:rPr>
        <w:t>(Delaney et al. 2008).</w:t>
      </w:r>
      <w:r>
        <w:rPr>
          <w:lang w:bidi="ar-SA"/>
        </w:rPr>
        <w:t xml:space="preserve"> Furthermore, proteins perform a wide range of functions in humans. To encompass this range of type and function, the safety assessment of the novel protein must consider if there is a history of safe use, </w:t>
      </w:r>
      <w:r w:rsidR="00CF702C">
        <w:rPr>
          <w:lang w:bidi="ar-SA"/>
        </w:rPr>
        <w:t xml:space="preserve">and whether </w:t>
      </w:r>
      <w:r>
        <w:rPr>
          <w:lang w:bidi="ar-SA"/>
        </w:rPr>
        <w:t xml:space="preserve">there </w:t>
      </w:r>
      <w:r w:rsidR="00CF702C">
        <w:rPr>
          <w:lang w:bidi="ar-SA"/>
        </w:rPr>
        <w:t xml:space="preserve">are </w:t>
      </w:r>
      <w:r>
        <w:rPr>
          <w:lang w:bidi="ar-SA"/>
        </w:rPr>
        <w:t>any potential toxic or allergenic effects.</w:t>
      </w:r>
    </w:p>
    <w:p w14:paraId="1CC6BA13" w14:textId="61D2AB0D" w:rsidR="00C15A6C" w:rsidRDefault="00C15A6C" w:rsidP="00BD59CB">
      <w:pPr>
        <w:pStyle w:val="Heading3"/>
      </w:pPr>
      <w:bookmarkStart w:id="53" w:name="_Toc5629741"/>
      <w:r w:rsidRPr="00C15A6C">
        <w:t>3.4.1</w:t>
      </w:r>
      <w:r w:rsidR="0035149D">
        <w:tab/>
      </w:r>
      <w:r w:rsidRPr="00C15A6C">
        <w:t>History of safe use of the enzyme</w:t>
      </w:r>
      <w:bookmarkEnd w:id="53"/>
    </w:p>
    <w:p w14:paraId="1CC2EBBB" w14:textId="1AC4555E" w:rsidR="00B07110" w:rsidRDefault="007A39E8" w:rsidP="00C15A6C">
      <w:pPr>
        <w:rPr>
          <w:lang w:bidi="ar-SA"/>
        </w:rPr>
      </w:pPr>
      <w:r>
        <w:rPr>
          <w:lang w:bidi="ar-SA"/>
        </w:rPr>
        <w:t xml:space="preserve">Glucoamylase from </w:t>
      </w:r>
      <w:r w:rsidR="003E44B5" w:rsidRPr="007A39E8">
        <w:rPr>
          <w:i/>
          <w:lang w:bidi="ar-SA"/>
        </w:rPr>
        <w:t>A</w:t>
      </w:r>
      <w:r w:rsidR="003E44B5">
        <w:rPr>
          <w:i/>
          <w:lang w:bidi="ar-SA"/>
        </w:rPr>
        <w:t>.</w:t>
      </w:r>
      <w:r w:rsidR="003E44B5" w:rsidRPr="007A39E8">
        <w:rPr>
          <w:i/>
          <w:lang w:bidi="ar-SA"/>
        </w:rPr>
        <w:t xml:space="preserve"> </w:t>
      </w:r>
      <w:r w:rsidRPr="007A39E8">
        <w:rPr>
          <w:i/>
          <w:lang w:bidi="ar-SA"/>
        </w:rPr>
        <w:t>niger</w:t>
      </w:r>
      <w:r>
        <w:rPr>
          <w:lang w:bidi="ar-SA"/>
        </w:rPr>
        <w:t xml:space="preserve"> has been approved for use in Brazil since 2009, </w:t>
      </w:r>
      <w:r w:rsidR="006176FC">
        <w:rPr>
          <w:lang w:bidi="ar-SA"/>
        </w:rPr>
        <w:t xml:space="preserve">and </w:t>
      </w:r>
      <w:r>
        <w:rPr>
          <w:lang w:bidi="ar-SA"/>
        </w:rPr>
        <w:t xml:space="preserve">China since 2015. </w:t>
      </w:r>
      <w:r w:rsidR="009C2F65">
        <w:rPr>
          <w:lang w:bidi="ar-SA"/>
        </w:rPr>
        <w:t xml:space="preserve">Denmark approved the use of the enzyme for production of glucose syrup, alcohol and beer in 2008 and for baking applications in 2011, and wrote that their evaluations had been made in accordance with EFSA </w:t>
      </w:r>
      <w:r w:rsidR="00D626CA">
        <w:rPr>
          <w:lang w:bidi="ar-SA"/>
        </w:rPr>
        <w:t>g</w:t>
      </w:r>
      <w:r w:rsidR="009C2F65">
        <w:rPr>
          <w:lang w:bidi="ar-SA"/>
        </w:rPr>
        <w:t xml:space="preserve">uidelines for the presentation of data on food enzymes. </w:t>
      </w:r>
      <w:r>
        <w:rPr>
          <w:lang w:bidi="ar-SA"/>
        </w:rPr>
        <w:t>According to the applicant, the enzyme has also been approved in Canada, France and Mexico, although the dates of approval are not specified. The applicant also states that the enzyme is used in unspecified countries in which there are no restrictions on the use of enzymes as processing aids, or where the enzyme is covered by a po</w:t>
      </w:r>
      <w:r w:rsidR="00B07110">
        <w:rPr>
          <w:lang w:bidi="ar-SA"/>
        </w:rPr>
        <w:t>sitive list.</w:t>
      </w:r>
    </w:p>
    <w:p w14:paraId="52590C1C" w14:textId="77777777" w:rsidR="00B07110" w:rsidRDefault="00B07110" w:rsidP="00C15A6C">
      <w:pPr>
        <w:rPr>
          <w:lang w:bidi="ar-SA"/>
        </w:rPr>
      </w:pPr>
    </w:p>
    <w:p w14:paraId="34241EA2" w14:textId="48A1CCE9" w:rsidR="00C15A6C" w:rsidRPr="007A39E8" w:rsidRDefault="001D22D2" w:rsidP="001D22D2">
      <w:pPr>
        <w:rPr>
          <w:lang w:bidi="ar-SA"/>
        </w:rPr>
      </w:pPr>
      <w:r w:rsidRPr="001D22D2">
        <w:rPr>
          <w:lang w:bidi="ar-SA"/>
        </w:rPr>
        <w:t>By volume, glucoamylase is one of the most used commercial biocatalysts in the food industry (Kumar and Satyanarayana</w:t>
      </w:r>
      <w:r>
        <w:rPr>
          <w:lang w:bidi="ar-SA"/>
        </w:rPr>
        <w:t>,</w:t>
      </w:r>
      <w:r w:rsidRPr="001D22D2">
        <w:rPr>
          <w:lang w:bidi="ar-SA"/>
        </w:rPr>
        <w:t xml:space="preserve"> 2009). </w:t>
      </w:r>
      <w:r>
        <w:rPr>
          <w:lang w:bidi="ar-SA"/>
        </w:rPr>
        <w:t>G</w:t>
      </w:r>
      <w:r w:rsidR="00B07110">
        <w:rPr>
          <w:lang w:bidi="ar-SA"/>
        </w:rPr>
        <w:t xml:space="preserve">lucoamylases from a </w:t>
      </w:r>
      <w:r>
        <w:rPr>
          <w:lang w:bidi="ar-SA"/>
        </w:rPr>
        <w:t>large number</w:t>
      </w:r>
      <w:r w:rsidR="00B07110">
        <w:rPr>
          <w:lang w:bidi="ar-SA"/>
        </w:rPr>
        <w:t xml:space="preserve"> of microbial sources have been widely used in the food industry since the 1960s for the hydrolysis of starch</w:t>
      </w:r>
      <w:r>
        <w:rPr>
          <w:lang w:bidi="ar-SA"/>
        </w:rPr>
        <w:t xml:space="preserve"> </w:t>
      </w:r>
      <w:r w:rsidRPr="001D22D2">
        <w:rPr>
          <w:lang w:bidi="ar-SA"/>
        </w:rPr>
        <w:t>(Kumar and Satyanarayana, 2009)</w:t>
      </w:r>
      <w:r w:rsidR="00B07110" w:rsidRPr="001D22D2">
        <w:rPr>
          <w:lang w:bidi="ar-SA"/>
        </w:rPr>
        <w:t>,</w:t>
      </w:r>
      <w:r w:rsidR="00B07110">
        <w:rPr>
          <w:lang w:bidi="ar-SA"/>
        </w:rPr>
        <w:t xml:space="preserve"> particularly in the starch, brewing, distilling and baking industries. FSANZ and a number of other regulatory authorities, including those of Brazil, Canada, China, Denmark, France, Japan and Mexico have authorized the use of various glucoamylases as processing aids. </w:t>
      </w:r>
      <w:r w:rsidR="007A39E8">
        <w:rPr>
          <w:lang w:bidi="ar-SA"/>
        </w:rPr>
        <w:t xml:space="preserve"> </w:t>
      </w:r>
    </w:p>
    <w:p w14:paraId="4B319AB9" w14:textId="6179CFC9" w:rsidR="00C15A6C" w:rsidRDefault="00C15A6C" w:rsidP="00BD59CB">
      <w:pPr>
        <w:pStyle w:val="Heading3"/>
      </w:pPr>
      <w:bookmarkStart w:id="54" w:name="_Toc5629742"/>
      <w:r>
        <w:t>3.4.2</w:t>
      </w:r>
      <w:r w:rsidR="0035149D">
        <w:tab/>
      </w:r>
      <w:r>
        <w:t>Toxicology studies in animals</w:t>
      </w:r>
      <w:bookmarkEnd w:id="54"/>
    </w:p>
    <w:p w14:paraId="63361504" w14:textId="1633F27F" w:rsidR="00764218" w:rsidRDefault="00764218" w:rsidP="00C15A6C">
      <w:pPr>
        <w:rPr>
          <w:i/>
          <w:lang w:bidi="ar-SA"/>
        </w:rPr>
      </w:pPr>
      <w:r w:rsidRPr="00764218">
        <w:rPr>
          <w:i/>
          <w:lang w:bidi="ar-SA"/>
        </w:rPr>
        <w:t xml:space="preserve">Thirteen week </w:t>
      </w:r>
      <w:r>
        <w:rPr>
          <w:i/>
          <w:lang w:bidi="ar-SA"/>
        </w:rPr>
        <w:t>oral gavage study of glucoamylase in CD rats (Huntingdon Life Sciences</w:t>
      </w:r>
      <w:r w:rsidR="003B0861">
        <w:rPr>
          <w:i/>
          <w:lang w:bidi="ar-SA"/>
        </w:rPr>
        <w:t xml:space="preserve"> Ltd., Study Number NVZ0028/053878,</w:t>
      </w:r>
      <w:r>
        <w:rPr>
          <w:i/>
          <w:lang w:bidi="ar-SA"/>
        </w:rPr>
        <w:t xml:space="preserve"> 2006</w:t>
      </w:r>
      <w:r w:rsidR="003B0861">
        <w:rPr>
          <w:i/>
          <w:lang w:bidi="ar-SA"/>
        </w:rPr>
        <w:t xml:space="preserve">) Regulatory status: GLP. </w:t>
      </w:r>
    </w:p>
    <w:p w14:paraId="61EAC1DC" w14:textId="06A34880" w:rsidR="003B0861" w:rsidRDefault="003B0861" w:rsidP="00C15A6C">
      <w:pPr>
        <w:rPr>
          <w:i/>
          <w:lang w:bidi="ar-SA"/>
        </w:rPr>
      </w:pPr>
    </w:p>
    <w:p w14:paraId="558504CD" w14:textId="62D8EC7D" w:rsidR="002D0994" w:rsidRDefault="00B833B0" w:rsidP="00C15A6C">
      <w:pPr>
        <w:rPr>
          <w:lang w:val="en-US" w:bidi="ar-SA"/>
        </w:rPr>
      </w:pPr>
      <w:r w:rsidRPr="00B833B0">
        <w:rPr>
          <w:lang w:val="en-US" w:bidi="ar-SA"/>
        </w:rPr>
        <w:t>The te</w:t>
      </w:r>
      <w:r>
        <w:rPr>
          <w:lang w:val="en-US" w:bidi="ar-SA"/>
        </w:rPr>
        <w:t xml:space="preserve">st article for this study was glucoamylase from </w:t>
      </w:r>
      <w:r w:rsidR="003E44B5" w:rsidRPr="00B833B0">
        <w:rPr>
          <w:i/>
          <w:lang w:val="en-US" w:bidi="ar-SA"/>
        </w:rPr>
        <w:t>A</w:t>
      </w:r>
      <w:r w:rsidR="003E44B5">
        <w:rPr>
          <w:i/>
          <w:lang w:val="en-US" w:bidi="ar-SA"/>
        </w:rPr>
        <w:t>.</w:t>
      </w:r>
      <w:r w:rsidR="003E44B5" w:rsidRPr="00B833B0">
        <w:rPr>
          <w:i/>
          <w:lang w:val="en-US" w:bidi="ar-SA"/>
        </w:rPr>
        <w:t xml:space="preserve"> </w:t>
      </w:r>
      <w:r w:rsidRPr="00B833B0">
        <w:rPr>
          <w:i/>
          <w:lang w:val="en-US" w:bidi="ar-SA"/>
        </w:rPr>
        <w:t>niger</w:t>
      </w:r>
      <w:r>
        <w:rPr>
          <w:lang w:val="en-US" w:bidi="ar-SA"/>
        </w:rPr>
        <w:t xml:space="preserve">, Batch PPY24900. This batch was produced </w:t>
      </w:r>
      <w:r w:rsidR="00912847">
        <w:rPr>
          <w:lang w:val="en-US" w:bidi="ar-SA"/>
        </w:rPr>
        <w:t xml:space="preserve">by </w:t>
      </w:r>
      <w:r w:rsidR="00912847" w:rsidRPr="00912847">
        <w:rPr>
          <w:lang w:val="en-US" w:bidi="ar-SA"/>
        </w:rPr>
        <w:t>a strain that is of the same strain lineage</w:t>
      </w:r>
      <w:r w:rsidR="00912847">
        <w:rPr>
          <w:lang w:val="en-US" w:bidi="ar-SA"/>
        </w:rPr>
        <w:t xml:space="preserve"> as the production strain used to produce the glucoamylase that is the subject of this application. The test article </w:t>
      </w:r>
      <w:r w:rsidR="00250082">
        <w:rPr>
          <w:lang w:val="en-US" w:bidi="ar-SA"/>
        </w:rPr>
        <w:t xml:space="preserve">was received as a liquid with </w:t>
      </w:r>
      <w:r w:rsidR="00912847">
        <w:rPr>
          <w:lang w:val="en-US" w:bidi="ar-SA"/>
        </w:rPr>
        <w:t>a Total Organic Solid (TOS) content of 13.9% w/w.</w:t>
      </w:r>
      <w:r w:rsidR="002D0994">
        <w:rPr>
          <w:lang w:val="en-US" w:bidi="ar-SA"/>
        </w:rPr>
        <w:t xml:space="preserve"> The vehicle and control article was water, purified by reverse osmosis. Enzyme activity of the dose formulations was determined from samples collected during Weeks 1, 6 and 13. </w:t>
      </w:r>
    </w:p>
    <w:p w14:paraId="6079B9C4" w14:textId="77777777" w:rsidR="002D0994" w:rsidRDefault="002D0994" w:rsidP="00C15A6C">
      <w:pPr>
        <w:rPr>
          <w:lang w:val="en-US" w:bidi="ar-SA"/>
        </w:rPr>
      </w:pPr>
    </w:p>
    <w:p w14:paraId="775985A8" w14:textId="563BE81F" w:rsidR="00250082" w:rsidRDefault="002D0994" w:rsidP="00C15A6C">
      <w:pPr>
        <w:rPr>
          <w:lang w:val="en-US" w:bidi="ar-SA"/>
        </w:rPr>
      </w:pPr>
      <w:r>
        <w:rPr>
          <w:lang w:val="en-US" w:bidi="ar-SA"/>
        </w:rPr>
        <w:t>The test subjects were Crl:CD</w:t>
      </w:r>
      <w:r>
        <w:rPr>
          <w:rFonts w:cs="Arial"/>
          <w:lang w:val="en-US" w:bidi="ar-SA"/>
        </w:rPr>
        <w:t>®</w:t>
      </w:r>
      <w:r>
        <w:rPr>
          <w:lang w:val="en-US" w:bidi="ar-SA"/>
        </w:rPr>
        <w:t xml:space="preserve">(SD)BR rats, received at 33 to 37 days of age. Rats were acclimatized to the study room and standard laboratory environmental conditions for 12 days prior to the start of the study. Rats were group-housed by sex, 5/cage, in polycarbonate cages and provided with water </w:t>
      </w:r>
      <w:r w:rsidRPr="002D0994">
        <w:rPr>
          <w:i/>
          <w:lang w:val="en-US" w:bidi="ar-SA"/>
        </w:rPr>
        <w:t>ad libitum</w:t>
      </w:r>
      <w:r>
        <w:rPr>
          <w:lang w:val="en-US" w:bidi="ar-SA"/>
        </w:rPr>
        <w:t xml:space="preserve">, and standard rat diet </w:t>
      </w:r>
      <w:r w:rsidRPr="002D0994">
        <w:rPr>
          <w:i/>
          <w:lang w:val="en-US" w:bidi="ar-SA"/>
        </w:rPr>
        <w:t>ad libitum</w:t>
      </w:r>
      <w:r>
        <w:rPr>
          <w:lang w:val="en-US" w:bidi="ar-SA"/>
        </w:rPr>
        <w:t xml:space="preserve"> except during scheduled fasting prior to blood collection.  </w:t>
      </w:r>
      <w:r w:rsidR="005F0223">
        <w:rPr>
          <w:lang w:val="en-US" w:bidi="ar-SA"/>
        </w:rPr>
        <w:t>All rats were subject to prestudy ophthalmologic examination.</w:t>
      </w:r>
    </w:p>
    <w:p w14:paraId="6E0B750F" w14:textId="77777777" w:rsidR="00250082" w:rsidRDefault="00250082" w:rsidP="00C15A6C">
      <w:pPr>
        <w:rPr>
          <w:lang w:val="en-US" w:bidi="ar-SA"/>
        </w:rPr>
      </w:pPr>
    </w:p>
    <w:p w14:paraId="4120FF1D" w14:textId="47C9A105" w:rsidR="003B0861" w:rsidRDefault="00250082" w:rsidP="00C15A6C">
      <w:pPr>
        <w:rPr>
          <w:lang w:val="en-US" w:bidi="ar-SA"/>
        </w:rPr>
      </w:pPr>
      <w:r>
        <w:rPr>
          <w:lang w:val="en-US" w:bidi="ar-SA"/>
        </w:rPr>
        <w:t xml:space="preserve">Rats were assigned, 10/sex/group, to groups </w:t>
      </w:r>
      <w:r w:rsidR="009503E1">
        <w:rPr>
          <w:lang w:val="en-US" w:bidi="ar-SA"/>
        </w:rPr>
        <w:t xml:space="preserve">gavaged once daily </w:t>
      </w:r>
      <w:r>
        <w:rPr>
          <w:lang w:val="en-US" w:bidi="ar-SA"/>
        </w:rPr>
        <w:t xml:space="preserve">at a dose volume of 10 mL/kg bw, to deliver a dose of 0, 1, 3.3 or 10 mL/kg bw/day of the test article as supplied to </w:t>
      </w:r>
      <w:r>
        <w:rPr>
          <w:lang w:val="en-US" w:bidi="ar-SA"/>
        </w:rPr>
        <w:lastRenderedPageBreak/>
        <w:t xml:space="preserve">the laboratory. </w:t>
      </w:r>
      <w:r w:rsidR="00E307BD">
        <w:rPr>
          <w:lang w:val="en-US" w:bidi="ar-SA"/>
        </w:rPr>
        <w:t xml:space="preserve">The volume delivered was based on the most recently recorded body weight. </w:t>
      </w:r>
      <w:r w:rsidR="003E57B5">
        <w:rPr>
          <w:lang w:val="en-US" w:bidi="ar-SA"/>
        </w:rPr>
        <w:t xml:space="preserve">During the in-life phase, rats were subject to cageside observations twice daily. Detailed clinical observations were recorded daily through the first week, twice weekly during Weeks 2 to 4, and once weekly thereafter. Water consumption was measured </w:t>
      </w:r>
      <w:r w:rsidR="00C55104">
        <w:rPr>
          <w:lang w:val="en-US" w:bidi="ar-SA"/>
        </w:rPr>
        <w:t xml:space="preserve">for all rats in a cage was recorded </w:t>
      </w:r>
      <w:r w:rsidR="003E57B5">
        <w:rPr>
          <w:lang w:val="en-US" w:bidi="ar-SA"/>
        </w:rPr>
        <w:t xml:space="preserve">every 2 to 3 days, and food consumption </w:t>
      </w:r>
      <w:r w:rsidR="00C55104">
        <w:rPr>
          <w:lang w:val="en-US" w:bidi="ar-SA"/>
        </w:rPr>
        <w:t xml:space="preserve">for all rats in a cage </w:t>
      </w:r>
      <w:r w:rsidR="003E57B5">
        <w:rPr>
          <w:lang w:val="en-US" w:bidi="ar-SA"/>
        </w:rPr>
        <w:t>w</w:t>
      </w:r>
      <w:r w:rsidR="00C55104">
        <w:rPr>
          <w:lang w:val="en-US" w:bidi="ar-SA"/>
        </w:rPr>
        <w:t>as</w:t>
      </w:r>
      <w:r w:rsidR="003E57B5">
        <w:rPr>
          <w:lang w:val="en-US" w:bidi="ar-SA"/>
        </w:rPr>
        <w:t xml:space="preserve"> recorded weekly. </w:t>
      </w:r>
      <w:r w:rsidR="00C55104">
        <w:rPr>
          <w:lang w:val="en-US" w:bidi="ar-SA"/>
        </w:rPr>
        <w:t>Bodyweight, and b</w:t>
      </w:r>
      <w:r w:rsidR="003E57B5">
        <w:rPr>
          <w:lang w:val="en-US" w:bidi="ar-SA"/>
        </w:rPr>
        <w:t>ehaviour in an arena w</w:t>
      </w:r>
      <w:r w:rsidR="00C55104">
        <w:rPr>
          <w:lang w:val="en-US" w:bidi="ar-SA"/>
        </w:rPr>
        <w:t>ere</w:t>
      </w:r>
      <w:r w:rsidR="003E57B5">
        <w:rPr>
          <w:lang w:val="en-US" w:bidi="ar-SA"/>
        </w:rPr>
        <w:t xml:space="preserve"> recorded weekly from prior to initiation of dosing. Sensory reactivity and grip strength were assessed during Week 12 prior to administration of the daily dose. Sensory reactivity was assessed by response to approaching the face with a probe, auditory startle response, tail pinch response and touch response. Motor activity was also measured electronically during Week 12. </w:t>
      </w:r>
      <w:r w:rsidR="005F0223">
        <w:rPr>
          <w:lang w:val="en-US" w:bidi="ar-SA"/>
        </w:rPr>
        <w:t>Rats in the control and 10 mL/kg bw/day groups were subject to ophthalmologic examinations in Week 1</w:t>
      </w:r>
      <w:r w:rsidR="00947B67">
        <w:rPr>
          <w:lang w:val="en-US" w:bidi="ar-SA"/>
        </w:rPr>
        <w:t>3</w:t>
      </w:r>
      <w:r w:rsidR="005F0223">
        <w:rPr>
          <w:lang w:val="en-US" w:bidi="ar-SA"/>
        </w:rPr>
        <w:t xml:space="preserve"> but because no differences in the prevalence of ocular abnormalities were observed between th</w:t>
      </w:r>
      <w:r w:rsidR="00B629D5">
        <w:rPr>
          <w:lang w:val="en-US" w:bidi="ar-SA"/>
        </w:rPr>
        <w:t>ose</w:t>
      </w:r>
      <w:r w:rsidR="005F0223">
        <w:rPr>
          <w:lang w:val="en-US" w:bidi="ar-SA"/>
        </w:rPr>
        <w:t xml:space="preserve"> two groups, examination was not extended to the 1 or 3.3 mL/kg bw/day groups. </w:t>
      </w:r>
    </w:p>
    <w:p w14:paraId="4E686D1C" w14:textId="25D02120" w:rsidR="00947B67" w:rsidRDefault="00947B67" w:rsidP="00C15A6C">
      <w:pPr>
        <w:rPr>
          <w:lang w:val="en-US" w:bidi="ar-SA"/>
        </w:rPr>
      </w:pPr>
    </w:p>
    <w:p w14:paraId="3C9394C1" w14:textId="7024147A" w:rsidR="00947B67" w:rsidRDefault="0071305C" w:rsidP="00C15A6C">
      <w:pPr>
        <w:rPr>
          <w:lang w:val="en-US" w:bidi="ar-SA"/>
        </w:rPr>
      </w:pPr>
      <w:r>
        <w:rPr>
          <w:lang w:val="en-US" w:bidi="ar-SA"/>
        </w:rPr>
        <w:t>Blood was collected from all surviving rats in Week 13 for haematology</w:t>
      </w:r>
      <w:r w:rsidR="006638A5">
        <w:rPr>
          <w:lang w:val="en-US" w:bidi="ar-SA"/>
        </w:rPr>
        <w:t xml:space="preserve"> (including</w:t>
      </w:r>
      <w:r>
        <w:rPr>
          <w:lang w:val="en-US" w:bidi="ar-SA"/>
        </w:rPr>
        <w:t xml:space="preserve"> assessment of coagulation factors</w:t>
      </w:r>
      <w:r w:rsidR="006638A5">
        <w:rPr>
          <w:lang w:val="en-US" w:bidi="ar-SA"/>
        </w:rPr>
        <w:t>)</w:t>
      </w:r>
      <w:r>
        <w:rPr>
          <w:lang w:val="en-US" w:bidi="ar-SA"/>
        </w:rPr>
        <w:t xml:space="preserve"> and clinical chemistry. </w:t>
      </w:r>
      <w:r w:rsidR="004E4151">
        <w:rPr>
          <w:lang w:val="en-US" w:bidi="ar-SA"/>
        </w:rPr>
        <w:t xml:space="preserve">All surviving animals were killed at the end of 13 weeks of treatment, and subject to necropsy. Fresh organ weights were recorded for adrenals, brain, heart, kidneys, liver, spleen, thymus, and either testes and epididymides or ovaries and uterus as sex-appropriate. A comprehensive list of organs and tissues was preserved for histopathological examination. </w:t>
      </w:r>
    </w:p>
    <w:p w14:paraId="751607C2" w14:textId="7CD8DBC6" w:rsidR="004E4151" w:rsidRDefault="004E4151" w:rsidP="00C15A6C">
      <w:pPr>
        <w:rPr>
          <w:lang w:val="en-US" w:bidi="ar-SA"/>
        </w:rPr>
      </w:pPr>
    </w:p>
    <w:p w14:paraId="26743C2F" w14:textId="761E26C7" w:rsidR="004E4151" w:rsidRDefault="004E4151" w:rsidP="00C15A6C">
      <w:pPr>
        <w:rPr>
          <w:lang w:val="en-US" w:bidi="ar-SA"/>
        </w:rPr>
      </w:pPr>
      <w:r>
        <w:rPr>
          <w:lang w:val="en-US" w:bidi="ar-SA"/>
        </w:rPr>
        <w:t xml:space="preserve">Analysis of the enzyme activity of dose formulations in Weeks 1, 6 and 13 confirmed that it did not deviate from the intended activity by more than 2%, and the formulations were therefore suitable for use on study. </w:t>
      </w:r>
    </w:p>
    <w:p w14:paraId="7DC28F55" w14:textId="14400225" w:rsidR="004E4151" w:rsidRDefault="004E4151" w:rsidP="00C15A6C">
      <w:pPr>
        <w:rPr>
          <w:lang w:val="en-US" w:bidi="ar-SA"/>
        </w:rPr>
      </w:pPr>
    </w:p>
    <w:p w14:paraId="769EF757" w14:textId="09A5CB79" w:rsidR="004E4151" w:rsidRDefault="00D243C1" w:rsidP="00C15A6C">
      <w:pPr>
        <w:rPr>
          <w:lang w:val="en-US" w:bidi="ar-SA"/>
        </w:rPr>
      </w:pPr>
      <w:r>
        <w:rPr>
          <w:lang w:val="en-US" w:bidi="ar-SA"/>
        </w:rPr>
        <w:t xml:space="preserve">There were no treatment-related mortalities prior to scheduled termination. </w:t>
      </w:r>
      <w:r w:rsidR="004E4151">
        <w:rPr>
          <w:lang w:val="en-US" w:bidi="ar-SA"/>
        </w:rPr>
        <w:t xml:space="preserve">One male rat in </w:t>
      </w:r>
      <w:r>
        <w:rPr>
          <w:lang w:val="en-US" w:bidi="ar-SA"/>
        </w:rPr>
        <w:t xml:space="preserve">the 3.3 mL/kg bw/day group was killed in moribund condition in Week 3. The rat was found to have meningitis. </w:t>
      </w:r>
      <w:r w:rsidR="006638A5">
        <w:rPr>
          <w:lang w:val="en-US" w:bidi="ar-SA"/>
        </w:rPr>
        <w:t>Treatment with glucoamylase had no effects on clinical observations, behavior in an arena, sensory reactivity tests, grip strength, motor activity in Week 12, bodyweights, bodyweight gains, food consumption, food conversion efficiency, water consumption, ophthalmic findings, haematology, clinical chemistry</w:t>
      </w:r>
      <w:r w:rsidR="003E264A">
        <w:rPr>
          <w:lang w:val="en-US" w:bidi="ar-SA"/>
        </w:rPr>
        <w:t xml:space="preserve">, organ weights or findings on gross necropsy. </w:t>
      </w:r>
      <w:r w:rsidR="00720214">
        <w:rPr>
          <w:lang w:val="en-US" w:bidi="ar-SA"/>
        </w:rPr>
        <w:t xml:space="preserve">Findings that showed a dose-response relationship were limited to an increase in the frequency or severity of vacuolation of adrenal cortical cells in male rats dosed with </w:t>
      </w:r>
      <w:r w:rsidR="00720214">
        <w:rPr>
          <w:rFonts w:cs="Arial"/>
          <w:lang w:val="en-US" w:bidi="ar-SA"/>
        </w:rPr>
        <w:t>≥</w:t>
      </w:r>
      <w:r w:rsidR="00720214">
        <w:rPr>
          <w:lang w:val="en-US" w:bidi="ar-SA"/>
        </w:rPr>
        <w:t xml:space="preserve">3.3 mL/kg bw/day. </w:t>
      </w:r>
      <w:r w:rsidR="00640C6C">
        <w:rPr>
          <w:lang w:val="en-US" w:bidi="ar-SA"/>
        </w:rPr>
        <w:t xml:space="preserve">Some vacuolation of these cells was observed in control and 1 mL/kg bw/day males, but the frequency and severity increased in the 3.3 and 10 mL/kg bw/day males in a dose-related manner. The study director commented that since glucocorticoids are involved in mediating protein catabolism, this could be an adaptive response to the administration of glucoamylase. It was noted that the frequency and severity of the vacuolation remained within the historical control range for male rats of this strain, similar changes were not observed in females, and there was no associated necrosis or inflammatory response. Consequently, the finding was not considered to be adverse. </w:t>
      </w:r>
    </w:p>
    <w:p w14:paraId="387B8D04" w14:textId="0B68ADF7" w:rsidR="00801784" w:rsidRDefault="00801784" w:rsidP="00C15A6C">
      <w:pPr>
        <w:rPr>
          <w:lang w:val="en-US" w:bidi="ar-SA"/>
        </w:rPr>
      </w:pPr>
    </w:p>
    <w:p w14:paraId="49E69F58" w14:textId="662A5E3A" w:rsidR="00801784" w:rsidRDefault="00801784" w:rsidP="00C15A6C">
      <w:pPr>
        <w:rPr>
          <w:lang w:val="en-US" w:bidi="ar-SA"/>
        </w:rPr>
      </w:pPr>
      <w:r>
        <w:rPr>
          <w:lang w:val="en-US" w:bidi="ar-SA"/>
        </w:rPr>
        <w:t xml:space="preserve">The study director concluded that the </w:t>
      </w:r>
      <w:r w:rsidR="00694FC9">
        <w:rPr>
          <w:lang w:val="en-US" w:bidi="ar-SA"/>
        </w:rPr>
        <w:t>No Observed Adverse Effect  Level (</w:t>
      </w:r>
      <w:r>
        <w:rPr>
          <w:lang w:val="en-US" w:bidi="ar-SA"/>
        </w:rPr>
        <w:t>NOAEL</w:t>
      </w:r>
      <w:r w:rsidR="00694FC9">
        <w:rPr>
          <w:lang w:val="en-US" w:bidi="ar-SA"/>
        </w:rPr>
        <w:t>)</w:t>
      </w:r>
      <w:r>
        <w:rPr>
          <w:lang w:val="en-US" w:bidi="ar-SA"/>
        </w:rPr>
        <w:t xml:space="preserve"> in this study was 10 mL/kg bw/day, which when expressed as TOS is 1.47 g/kg bw/day. </w:t>
      </w:r>
    </w:p>
    <w:p w14:paraId="545B88B3" w14:textId="363AA4F2" w:rsidR="00BF02F4" w:rsidRDefault="00BF02F4" w:rsidP="00C15A6C">
      <w:pPr>
        <w:rPr>
          <w:lang w:val="en-US" w:bidi="ar-SA"/>
        </w:rPr>
      </w:pPr>
    </w:p>
    <w:p w14:paraId="02D6BB33" w14:textId="261061C7" w:rsidR="00BF02F4" w:rsidRPr="00B833B0" w:rsidRDefault="00BF02F4" w:rsidP="00C15A6C">
      <w:pPr>
        <w:rPr>
          <w:lang w:val="en-US" w:bidi="ar-SA"/>
        </w:rPr>
      </w:pPr>
      <w:r>
        <w:rPr>
          <w:lang w:val="en-US" w:bidi="ar-SA"/>
        </w:rPr>
        <w:t xml:space="preserve">Although the test article is from a different strain of </w:t>
      </w:r>
      <w:r w:rsidR="003E44B5" w:rsidRPr="00BF02F4">
        <w:rPr>
          <w:i/>
          <w:lang w:val="en-US" w:bidi="ar-SA"/>
        </w:rPr>
        <w:t>A</w:t>
      </w:r>
      <w:r w:rsidR="003E44B5">
        <w:rPr>
          <w:i/>
          <w:lang w:val="en-US" w:bidi="ar-SA"/>
        </w:rPr>
        <w:t>.</w:t>
      </w:r>
      <w:r w:rsidR="003E44B5" w:rsidRPr="00BF02F4">
        <w:rPr>
          <w:i/>
          <w:lang w:val="en-US" w:bidi="ar-SA"/>
        </w:rPr>
        <w:t xml:space="preserve"> </w:t>
      </w:r>
      <w:r w:rsidRPr="00BF02F4">
        <w:rPr>
          <w:i/>
          <w:lang w:val="en-US" w:bidi="ar-SA"/>
        </w:rPr>
        <w:t>niger</w:t>
      </w:r>
      <w:r>
        <w:rPr>
          <w:lang w:val="en-US" w:bidi="ar-SA"/>
        </w:rPr>
        <w:t xml:space="preserve"> than the production strain for the enzyme that is the subject of this application, the two strains are of the same lineage and the study is considered to be informative of the safety of glucoamylase from </w:t>
      </w:r>
      <w:r w:rsidR="003E44B5" w:rsidRPr="00BF02F4">
        <w:rPr>
          <w:i/>
          <w:lang w:val="en-US" w:bidi="ar-SA"/>
        </w:rPr>
        <w:t>A</w:t>
      </w:r>
      <w:r w:rsidR="003E44B5">
        <w:rPr>
          <w:i/>
          <w:lang w:val="en-US" w:bidi="ar-SA"/>
        </w:rPr>
        <w:t>.</w:t>
      </w:r>
      <w:r w:rsidR="003E44B5" w:rsidRPr="00BF02F4">
        <w:rPr>
          <w:i/>
          <w:lang w:val="en-US" w:bidi="ar-SA"/>
        </w:rPr>
        <w:t xml:space="preserve"> </w:t>
      </w:r>
      <w:r w:rsidRPr="00BF02F4">
        <w:rPr>
          <w:i/>
          <w:lang w:val="en-US" w:bidi="ar-SA"/>
        </w:rPr>
        <w:t>niger</w:t>
      </w:r>
      <w:r>
        <w:rPr>
          <w:lang w:val="en-US" w:bidi="ar-SA"/>
        </w:rPr>
        <w:t xml:space="preserve"> when administered orally. </w:t>
      </w:r>
    </w:p>
    <w:p w14:paraId="16DC0996" w14:textId="14974262" w:rsidR="00C15A6C" w:rsidRDefault="00C15A6C" w:rsidP="00F155B9">
      <w:pPr>
        <w:pStyle w:val="Heading3"/>
        <w:widowControl/>
      </w:pPr>
      <w:bookmarkStart w:id="55" w:name="_Toc5629743"/>
      <w:r>
        <w:lastRenderedPageBreak/>
        <w:t>3.4.3</w:t>
      </w:r>
      <w:r w:rsidR="0035149D">
        <w:tab/>
      </w:r>
      <w:r>
        <w:t>Genotoxicity assays</w:t>
      </w:r>
      <w:bookmarkEnd w:id="55"/>
    </w:p>
    <w:p w14:paraId="6AFEC068" w14:textId="78C90C9A" w:rsidR="00CA3967" w:rsidRDefault="004F508D" w:rsidP="00F155B9">
      <w:pPr>
        <w:widowControl/>
        <w:rPr>
          <w:i/>
          <w:lang w:bidi="ar-SA"/>
        </w:rPr>
      </w:pPr>
      <w:r w:rsidRPr="004F508D">
        <w:rPr>
          <w:i/>
          <w:lang w:bidi="ar-SA"/>
        </w:rPr>
        <w:t xml:space="preserve">Bacterial reverse mutation assay (Novozymes A/S, Study Number 20118069, 2011). Regulatory status: </w:t>
      </w:r>
      <w:r>
        <w:rPr>
          <w:i/>
          <w:lang w:bidi="ar-SA"/>
        </w:rPr>
        <w:t>GLP</w:t>
      </w:r>
      <w:r w:rsidR="005561C3">
        <w:rPr>
          <w:i/>
          <w:lang w:bidi="ar-SA"/>
        </w:rPr>
        <w:t>; conducted in accordance with the general recommendations of OECD Guideline No. 471</w:t>
      </w:r>
      <w:r w:rsidR="00CC71B8">
        <w:rPr>
          <w:i/>
          <w:lang w:bidi="ar-SA"/>
        </w:rPr>
        <w:t>.</w:t>
      </w:r>
      <w:r w:rsidR="005561C3">
        <w:rPr>
          <w:i/>
          <w:lang w:bidi="ar-SA"/>
        </w:rPr>
        <w:t xml:space="preserve"> </w:t>
      </w:r>
    </w:p>
    <w:p w14:paraId="4E9C91E5" w14:textId="6C36AB7E" w:rsidR="004F508D" w:rsidRDefault="004F508D" w:rsidP="00F155B9">
      <w:pPr>
        <w:widowControl/>
        <w:rPr>
          <w:i/>
          <w:lang w:bidi="ar-SA"/>
        </w:rPr>
      </w:pPr>
    </w:p>
    <w:p w14:paraId="4DEB982E" w14:textId="142060A0" w:rsidR="008B4596" w:rsidRDefault="004F508D" w:rsidP="00AA78CC">
      <w:pPr>
        <w:rPr>
          <w:lang w:bidi="ar-SA"/>
        </w:rPr>
      </w:pPr>
      <w:r>
        <w:rPr>
          <w:lang w:bidi="ar-SA"/>
        </w:rPr>
        <w:t>This assay was performed using Batch PPY</w:t>
      </w:r>
      <w:r w:rsidR="003B1F0D">
        <w:rPr>
          <w:lang w:bidi="ar-SA"/>
        </w:rPr>
        <w:t xml:space="preserve"> </w:t>
      </w:r>
      <w:r>
        <w:rPr>
          <w:lang w:bidi="ar-SA"/>
        </w:rPr>
        <w:t xml:space="preserve">32789, which is glucoamylase from the production strain that is the subject of the application. </w:t>
      </w:r>
      <w:r w:rsidR="004269C1">
        <w:rPr>
          <w:lang w:bidi="ar-SA"/>
        </w:rPr>
        <w:t xml:space="preserve">The test article was received as a brown liquid with a declared dry matter content of 10.2% w/w. The enzyme was prepared as a solution of 5% w/v in sterile deionised water, and serial dilutions made with water so that the test concentrations were 156, 313, 625, 1250, 2500 and 5000 </w:t>
      </w:r>
      <w:r w:rsidR="004269C1">
        <w:rPr>
          <w:rFonts w:cs="Arial"/>
          <w:lang w:bidi="ar-SA"/>
        </w:rPr>
        <w:t>µ</w:t>
      </w:r>
      <w:r w:rsidR="004269C1">
        <w:rPr>
          <w:lang w:bidi="ar-SA"/>
        </w:rPr>
        <w:t>g/mL. The negative control article was</w:t>
      </w:r>
      <w:r w:rsidR="004269C1" w:rsidRPr="004269C1">
        <w:t xml:space="preserve"> </w:t>
      </w:r>
      <w:r w:rsidR="004269C1" w:rsidRPr="004269C1">
        <w:rPr>
          <w:lang w:bidi="ar-SA"/>
        </w:rPr>
        <w:t xml:space="preserve">sterile deionised </w:t>
      </w:r>
      <w:r w:rsidR="004269C1">
        <w:rPr>
          <w:lang w:bidi="ar-SA"/>
        </w:rPr>
        <w:t xml:space="preserve">water. </w:t>
      </w:r>
      <w:r w:rsidR="008B4596">
        <w:rPr>
          <w:lang w:bidi="ar-SA"/>
        </w:rPr>
        <w:t xml:space="preserve">The test bacterial strains were </w:t>
      </w:r>
      <w:r w:rsidR="008B4596" w:rsidRPr="008B4596">
        <w:rPr>
          <w:i/>
          <w:lang w:bidi="ar-SA"/>
        </w:rPr>
        <w:t>Escherichia coli</w:t>
      </w:r>
      <w:r w:rsidR="008B4596">
        <w:rPr>
          <w:lang w:bidi="ar-SA"/>
        </w:rPr>
        <w:t xml:space="preserve"> WP2uvrApKM101 and four strains of </w:t>
      </w:r>
      <w:r w:rsidR="008B4596" w:rsidRPr="008B4596">
        <w:rPr>
          <w:i/>
          <w:lang w:bidi="ar-SA"/>
        </w:rPr>
        <w:t>Salmonella typhimurium</w:t>
      </w:r>
      <w:r w:rsidR="008B4596">
        <w:rPr>
          <w:lang w:bidi="ar-SA"/>
        </w:rPr>
        <w:t xml:space="preserve">; TA1535, TA100, TA1537 and TA98. The positive control article for all strains in the presence of S9 mix for metabolic activation was 2-aminoanthracene. In the absence of S9 mix, the positive control article was </w:t>
      </w:r>
      <w:r w:rsidR="00A27C01">
        <w:rPr>
          <w:lang w:bidi="ar-SA"/>
        </w:rPr>
        <w:t xml:space="preserve">1-methyl-3-nitro-N-nitrosoguanidine for TA1535, TA100 and </w:t>
      </w:r>
      <w:r w:rsidR="00A27C01" w:rsidRPr="00A27C01">
        <w:rPr>
          <w:i/>
          <w:lang w:bidi="ar-SA"/>
        </w:rPr>
        <w:t>E. coli</w:t>
      </w:r>
      <w:r w:rsidR="00A27C01">
        <w:rPr>
          <w:lang w:bidi="ar-SA"/>
        </w:rPr>
        <w:t xml:space="preserve"> WP2uvrApKM101, 2-nitrofluorene for TA98, and </w:t>
      </w:r>
      <w:r w:rsidR="000F3894">
        <w:rPr>
          <w:lang w:bidi="ar-SA"/>
        </w:rPr>
        <w:t xml:space="preserve">acridine mutagen for TA 1537. </w:t>
      </w:r>
    </w:p>
    <w:p w14:paraId="4A51F299" w14:textId="6EE86BB5" w:rsidR="00B102F1" w:rsidRDefault="00B102F1" w:rsidP="00AA78CC">
      <w:pPr>
        <w:rPr>
          <w:i/>
          <w:lang w:bidi="ar-SA"/>
        </w:rPr>
      </w:pPr>
    </w:p>
    <w:p w14:paraId="6578FB6F" w14:textId="69E2D53B" w:rsidR="00B102F1" w:rsidRDefault="00B102F1" w:rsidP="00AA78CC">
      <w:pPr>
        <w:rPr>
          <w:lang w:val="en-US" w:bidi="ar-SA"/>
        </w:rPr>
      </w:pPr>
      <w:r w:rsidRPr="00B102F1">
        <w:rPr>
          <w:lang w:bidi="ar-SA"/>
        </w:rPr>
        <w:t xml:space="preserve">The test article </w:t>
      </w:r>
      <w:r>
        <w:rPr>
          <w:lang w:bidi="ar-SA"/>
        </w:rPr>
        <w:t xml:space="preserve">provides a rich medium for bacterial growth, and a source of histidine and tryptophan, the amino acids that are the growth-limiting factors for the test strains of </w:t>
      </w:r>
      <w:r w:rsidRPr="00B102F1">
        <w:rPr>
          <w:i/>
          <w:lang w:bidi="ar-SA"/>
        </w:rPr>
        <w:t>S. typhimurium</w:t>
      </w:r>
      <w:r>
        <w:rPr>
          <w:lang w:bidi="ar-SA"/>
        </w:rPr>
        <w:t xml:space="preserve"> and </w:t>
      </w:r>
      <w:r w:rsidRPr="00B102F1">
        <w:rPr>
          <w:i/>
          <w:lang w:bidi="ar-SA"/>
        </w:rPr>
        <w:t>E.coli</w:t>
      </w:r>
      <w:r>
        <w:rPr>
          <w:lang w:bidi="ar-SA"/>
        </w:rPr>
        <w:t xml:space="preserve"> respectively. A standard bacterial reverse mutation assay in agar plates is likely to be confounded by a “feeding effect” in which the bacterial lawn is increased and the number of spontaneous mutations are increased as a result of more nutrient. In order to overcome this confounding, all strains were exposed to the test article in liquid culture using the “treat and plate” method. </w:t>
      </w:r>
      <w:r w:rsidR="001E604D">
        <w:rPr>
          <w:lang w:bidi="ar-SA"/>
        </w:rPr>
        <w:t xml:space="preserve">For each assay </w:t>
      </w:r>
      <w:r w:rsidR="001E604D">
        <w:rPr>
          <w:lang w:val="en-US" w:bidi="ar-SA"/>
        </w:rPr>
        <w:t xml:space="preserve">bacterial culture, test or control article, S9 mix or an equal volume of buffer, and nutrient broth were combined in a test tube and incubated with shaking </w:t>
      </w:r>
      <w:r w:rsidR="001E604D" w:rsidRPr="001E604D">
        <w:rPr>
          <w:lang w:val="en-US" w:bidi="ar-SA"/>
        </w:rPr>
        <w:t xml:space="preserve">at 37ºC </w:t>
      </w:r>
      <w:r w:rsidR="001E604D">
        <w:rPr>
          <w:lang w:val="en-US" w:bidi="ar-SA"/>
        </w:rPr>
        <w:t xml:space="preserve">for 3 h. Bacterial cells were then washed twice by centrifugation and poured into agar plates, and soft top agar was added. After the top agar had set, plates were inverted and incubated </w:t>
      </w:r>
      <w:r w:rsidR="001E604D" w:rsidRPr="001E604D">
        <w:rPr>
          <w:lang w:val="en-US" w:bidi="ar-SA"/>
        </w:rPr>
        <w:t xml:space="preserve">at 37ºC for </w:t>
      </w:r>
      <w:r w:rsidR="001E604D">
        <w:rPr>
          <w:lang w:val="en-US" w:bidi="ar-SA"/>
        </w:rPr>
        <w:t>72</w:t>
      </w:r>
      <w:r w:rsidR="001E604D" w:rsidRPr="001E604D">
        <w:rPr>
          <w:lang w:val="en-US" w:bidi="ar-SA"/>
        </w:rPr>
        <w:t xml:space="preserve"> h</w:t>
      </w:r>
      <w:r w:rsidR="001E604D">
        <w:rPr>
          <w:lang w:val="en-US" w:bidi="ar-SA"/>
        </w:rPr>
        <w:t xml:space="preserve">. Each assay was conducted in triplicate for assays in which the bacteria were exposed to test article or positive control, while the negative (solvent) control was conducted five-fold. The entire experiment was conducted twice. </w:t>
      </w:r>
    </w:p>
    <w:p w14:paraId="4AFE5806" w14:textId="459CC01E" w:rsidR="004B63D9" w:rsidRDefault="004B63D9" w:rsidP="00AA78CC">
      <w:pPr>
        <w:rPr>
          <w:lang w:val="en-US" w:bidi="ar-SA"/>
        </w:rPr>
      </w:pPr>
    </w:p>
    <w:p w14:paraId="29830E53" w14:textId="3C3BD7C2" w:rsidR="004B63D9" w:rsidRDefault="004B63D9" w:rsidP="00AA78CC">
      <w:pPr>
        <w:rPr>
          <w:lang w:val="en-US" w:bidi="ar-SA"/>
        </w:rPr>
      </w:pPr>
      <w:r>
        <w:rPr>
          <w:lang w:val="en-US" w:bidi="ar-SA"/>
        </w:rPr>
        <w:t xml:space="preserve">Colonies were counted automatically, unless there were fewer than 20 colonies in which case they were counted manually. </w:t>
      </w:r>
    </w:p>
    <w:p w14:paraId="5ED10644" w14:textId="27E0BFFD" w:rsidR="004B63D9" w:rsidRDefault="004B63D9" w:rsidP="00AA78CC">
      <w:pPr>
        <w:rPr>
          <w:lang w:val="en-US" w:bidi="ar-SA"/>
        </w:rPr>
      </w:pPr>
    </w:p>
    <w:p w14:paraId="0F622162" w14:textId="161A9BD6" w:rsidR="00B3442C" w:rsidRDefault="004B63D9" w:rsidP="00AA78CC">
      <w:pPr>
        <w:rPr>
          <w:lang w:val="en-US" w:bidi="ar-SA"/>
        </w:rPr>
      </w:pPr>
      <w:r>
        <w:rPr>
          <w:lang w:val="en-US" w:bidi="ar-SA"/>
        </w:rPr>
        <w:t xml:space="preserve">No toxicity of the test article on bacteria was observed. On the contrary, bacterial growth was stimulated </w:t>
      </w:r>
      <w:r w:rsidR="00B3442C">
        <w:rPr>
          <w:lang w:val="en-US" w:bidi="ar-SA"/>
        </w:rPr>
        <w:t xml:space="preserve">by the test article, relative to the solvent control. There was a weak associated increase in revertant colonies, which was predictable and expected. However no concentration of the test article, with or without metabolic activation by S9 mix, resulted in an increase in revertant colonies that met the criteria for a response to a mutagen. The positive controls all induced the expected response to a mutagen, confirming the validity of the assay. </w:t>
      </w:r>
    </w:p>
    <w:p w14:paraId="3D106108" w14:textId="77777777" w:rsidR="004C644D" w:rsidRDefault="004C644D" w:rsidP="00AA78CC">
      <w:pPr>
        <w:rPr>
          <w:lang w:val="en-US" w:bidi="ar-SA"/>
        </w:rPr>
      </w:pPr>
    </w:p>
    <w:p w14:paraId="74320F72" w14:textId="10B2D1C2" w:rsidR="004B63D9" w:rsidRDefault="004C644D" w:rsidP="00AA78CC">
      <w:pPr>
        <w:rPr>
          <w:i/>
          <w:lang w:val="en-US" w:bidi="ar-SA"/>
        </w:rPr>
      </w:pPr>
      <w:r w:rsidRPr="004C644D">
        <w:rPr>
          <w:i/>
          <w:lang w:val="en-US" w:bidi="ar-SA"/>
        </w:rPr>
        <w:t>Micronucleus assay in cultured human peripheral blood lymphocytes (Covance Laboratories, Study Number 8259272, 2012). Regulatory status: GLP</w:t>
      </w:r>
      <w:r w:rsidR="005561C3">
        <w:rPr>
          <w:i/>
          <w:lang w:val="en-US" w:bidi="ar-SA"/>
        </w:rPr>
        <w:t>; in accordance with OECD Guideline 487</w:t>
      </w:r>
    </w:p>
    <w:p w14:paraId="53A582FE" w14:textId="2A35D98E" w:rsidR="002B5037" w:rsidRDefault="002B5037" w:rsidP="00AA78CC">
      <w:pPr>
        <w:rPr>
          <w:i/>
          <w:lang w:val="en-US" w:bidi="ar-SA"/>
        </w:rPr>
      </w:pPr>
    </w:p>
    <w:p w14:paraId="6EE7D501" w14:textId="7A44D684" w:rsidR="002B5037" w:rsidRDefault="003B1F0D" w:rsidP="00AA78CC">
      <w:pPr>
        <w:rPr>
          <w:lang w:val="en-US" w:bidi="ar-SA"/>
        </w:rPr>
      </w:pPr>
      <w:r w:rsidRPr="003B1F0D">
        <w:rPr>
          <w:lang w:val="en-US" w:bidi="ar-SA"/>
        </w:rPr>
        <w:t>This assay was performed using Batch PPY</w:t>
      </w:r>
      <w:r>
        <w:rPr>
          <w:lang w:val="en-US" w:bidi="ar-SA"/>
        </w:rPr>
        <w:t xml:space="preserve"> </w:t>
      </w:r>
      <w:r w:rsidRPr="003B1F0D">
        <w:rPr>
          <w:lang w:val="en-US" w:bidi="ar-SA"/>
        </w:rPr>
        <w:t>32789, which is glucoamylase from the production strain that is the subject of the application.</w:t>
      </w:r>
      <w:r>
        <w:rPr>
          <w:lang w:val="en-US" w:bidi="ar-SA"/>
        </w:rPr>
        <w:t xml:space="preserve"> The test article was received as a liquid and diluted with purified water to obtain the range of concentrations tested. Purified water was used as the negative control article. Lymphocytes were obtained and pooled from two healthy non</w:t>
      </w:r>
      <w:r w:rsidR="00A92002">
        <w:rPr>
          <w:lang w:val="en-US" w:bidi="ar-SA"/>
        </w:rPr>
        <w:t>-</w:t>
      </w:r>
      <w:r>
        <w:rPr>
          <w:lang w:val="en-US" w:bidi="ar-SA"/>
        </w:rPr>
        <w:t xml:space="preserve">smoking male donors. Positive control articles were mitomycin C (MMC), cyclophosphamide (CPA) and vinblastine (VIN). </w:t>
      </w:r>
    </w:p>
    <w:p w14:paraId="378C975C" w14:textId="5F17ECAD" w:rsidR="00A65174" w:rsidRDefault="00A65174" w:rsidP="00AA78CC">
      <w:pPr>
        <w:rPr>
          <w:lang w:val="en-US" w:bidi="ar-SA"/>
        </w:rPr>
      </w:pPr>
    </w:p>
    <w:p w14:paraId="33DFA395" w14:textId="0A0952AA" w:rsidR="00A65174" w:rsidRDefault="00A65174" w:rsidP="00F155B9">
      <w:pPr>
        <w:widowControl/>
        <w:rPr>
          <w:lang w:val="en-US" w:bidi="ar-SA"/>
        </w:rPr>
      </w:pPr>
      <w:r>
        <w:rPr>
          <w:lang w:val="en-US" w:bidi="ar-SA"/>
        </w:rPr>
        <w:lastRenderedPageBreak/>
        <w:t xml:space="preserve">A Range-Finder </w:t>
      </w:r>
      <w:r w:rsidR="0098537B">
        <w:rPr>
          <w:lang w:val="en-US" w:bidi="ar-SA"/>
        </w:rPr>
        <w:t>e</w:t>
      </w:r>
      <w:r>
        <w:rPr>
          <w:lang w:val="en-US" w:bidi="ar-SA"/>
        </w:rPr>
        <w:t xml:space="preserve">xperiment was conducted </w:t>
      </w:r>
      <w:r w:rsidR="004E730E">
        <w:rPr>
          <w:lang w:val="en-US" w:bidi="ar-SA"/>
        </w:rPr>
        <w:t>with concentrations of test article of 0, 18.1, 30.2, 50.</w:t>
      </w:r>
      <w:r w:rsidR="005561C3">
        <w:rPr>
          <w:lang w:val="en-US" w:bidi="ar-SA"/>
        </w:rPr>
        <w:t>4</w:t>
      </w:r>
      <w:r w:rsidR="004E730E">
        <w:rPr>
          <w:lang w:val="en-US" w:bidi="ar-SA"/>
        </w:rPr>
        <w:t>, 8</w:t>
      </w:r>
      <w:r w:rsidR="005561C3">
        <w:rPr>
          <w:lang w:val="en-US" w:bidi="ar-SA"/>
        </w:rPr>
        <w:t>4</w:t>
      </w:r>
      <w:r w:rsidR="004E730E">
        <w:rPr>
          <w:lang w:val="en-US" w:bidi="ar-SA"/>
        </w:rPr>
        <w:t>, 140, 233.3, 38</w:t>
      </w:r>
      <w:r w:rsidR="005561C3">
        <w:rPr>
          <w:lang w:val="en-US" w:bidi="ar-SA"/>
        </w:rPr>
        <w:t>9</w:t>
      </w:r>
      <w:r w:rsidR="004E730E">
        <w:rPr>
          <w:lang w:val="en-US" w:bidi="ar-SA"/>
        </w:rPr>
        <w:t xml:space="preserve">, 648, 1080, 1800, 3000 and 5000 </w:t>
      </w:r>
      <w:r w:rsidR="004E730E">
        <w:rPr>
          <w:rFonts w:cs="Arial"/>
          <w:lang w:val="en-US" w:bidi="ar-SA"/>
        </w:rPr>
        <w:t>µ</w:t>
      </w:r>
      <w:r w:rsidR="004E730E">
        <w:rPr>
          <w:lang w:val="en-US" w:bidi="ar-SA"/>
        </w:rPr>
        <w:t>g/mL, in order to determine whether there was any evidence of cytotoxicity. Lymphocytes that had previously been stimulated to divide using phytohaemagglutinin were incubated with test article or negative control article, and with or without S9 mix for metabolic activation, for three hours and then washed and incubated for a further 21 hours. Incubation was at 37</w:t>
      </w:r>
      <w:r w:rsidR="004E730E">
        <w:rPr>
          <w:rFonts w:cs="Arial"/>
          <w:lang w:val="en-US" w:bidi="ar-SA"/>
        </w:rPr>
        <w:t>º</w:t>
      </w:r>
      <w:r w:rsidR="0054759D">
        <w:rPr>
          <w:lang w:val="en-US" w:bidi="ar-SA"/>
        </w:rPr>
        <w:t xml:space="preserve">C. Additionally lymphocytes or negative control article were incubated without S9 mix for 24 hours, then washed and incubated for a further 24 hours. </w:t>
      </w:r>
      <w:r w:rsidR="0098537B">
        <w:rPr>
          <w:lang w:val="en-US" w:bidi="ar-SA"/>
        </w:rPr>
        <w:t>At the end of the incubation cells were harvested, processed to slides and examined. No significant differences were observed between treated and negative control cells.</w:t>
      </w:r>
    </w:p>
    <w:p w14:paraId="0A32E9CF" w14:textId="41F1ADA3" w:rsidR="0098537B" w:rsidRDefault="0098537B" w:rsidP="00AA78CC">
      <w:pPr>
        <w:rPr>
          <w:lang w:val="en-US" w:bidi="ar-SA"/>
        </w:rPr>
      </w:pPr>
    </w:p>
    <w:p w14:paraId="6F9F29DE" w14:textId="5E758931" w:rsidR="0098537B" w:rsidRDefault="0098537B" w:rsidP="00AA78CC">
      <w:pPr>
        <w:rPr>
          <w:lang w:val="en-US" w:bidi="ar-SA"/>
        </w:rPr>
      </w:pPr>
      <w:r>
        <w:rPr>
          <w:lang w:val="en-US" w:bidi="ar-SA"/>
        </w:rPr>
        <w:t xml:space="preserve">As a result of the Range-Finder experiment, the doses for the Micronucleus experiment were 0, 1000, 2000, 3000, 4000, and 5000 </w:t>
      </w:r>
      <w:r>
        <w:rPr>
          <w:rFonts w:cs="Arial"/>
          <w:lang w:val="en-US" w:bidi="ar-SA"/>
        </w:rPr>
        <w:t>µ</w:t>
      </w:r>
      <w:r>
        <w:rPr>
          <w:lang w:val="en-US" w:bidi="ar-SA"/>
        </w:rPr>
        <w:t xml:space="preserve">g/mL for a three-hour exposure followed by 21 hours </w:t>
      </w:r>
      <w:r w:rsidR="00385EFD">
        <w:rPr>
          <w:lang w:val="en-US" w:bidi="ar-SA"/>
        </w:rPr>
        <w:t xml:space="preserve">continued </w:t>
      </w:r>
      <w:r>
        <w:rPr>
          <w:lang w:val="en-US" w:bidi="ar-SA"/>
        </w:rPr>
        <w:t xml:space="preserve">incubation without exposure to the test article, while doses of 500, 1000, 2000, 3000, 4000 and 5000 </w:t>
      </w:r>
      <w:r w:rsidR="00385EFD">
        <w:rPr>
          <w:rFonts w:cs="Arial"/>
          <w:lang w:val="en-US" w:bidi="ar-SA"/>
        </w:rPr>
        <w:t>µ</w:t>
      </w:r>
      <w:r w:rsidR="00385EFD">
        <w:rPr>
          <w:lang w:val="en-US" w:bidi="ar-SA"/>
        </w:rPr>
        <w:t xml:space="preserve">g/mL were used for a 24-hour exposure followed by 24 hours continued incubation without exposure. The three-hour exposure experiment was conducted both with and without S9 mix whereas the 24 hour exposure experiment was conducted without S9 mix. Assays with test article were conducted in duplicate whereas assays with the negative control were conducted in fourfold. Concurrent assays with the positive control articles were also conducted. The expected significant increase in binucleate cells with micronuclei was observed with all positive control articles. However no treatment-related increase in binucleate cells with micronuclei, relative to negative control assays, was observed in assays containing the test article, with or without S9 mix. </w:t>
      </w:r>
    </w:p>
    <w:p w14:paraId="5E1D0F24" w14:textId="50F16D45" w:rsidR="00385EFD" w:rsidRDefault="00385EFD" w:rsidP="00AA78CC">
      <w:pPr>
        <w:rPr>
          <w:lang w:val="en-US" w:bidi="ar-SA"/>
        </w:rPr>
      </w:pPr>
    </w:p>
    <w:p w14:paraId="24EF004C" w14:textId="203D387F" w:rsidR="004B63D9" w:rsidRDefault="00385EFD" w:rsidP="00AA78CC">
      <w:pPr>
        <w:rPr>
          <w:lang w:val="en-US" w:bidi="ar-SA"/>
        </w:rPr>
      </w:pPr>
      <w:r>
        <w:rPr>
          <w:lang w:val="en-US" w:bidi="ar-SA"/>
        </w:rPr>
        <w:t xml:space="preserve">It was concluded that the test article, with or without metabolic activation, did not induce micronuclei in human peripheral blood lymphocytes at concentrations up to 5000 </w:t>
      </w:r>
      <w:r>
        <w:rPr>
          <w:rFonts w:cs="Arial"/>
          <w:lang w:val="en-US" w:bidi="ar-SA"/>
        </w:rPr>
        <w:t>µ</w:t>
      </w:r>
      <w:r w:rsidR="00451BFF">
        <w:rPr>
          <w:lang w:val="en-US" w:bidi="ar-SA"/>
        </w:rPr>
        <w:t>g/mL</w:t>
      </w:r>
    </w:p>
    <w:p w14:paraId="2B37A289" w14:textId="6ACA8E40" w:rsidR="00C15A6C" w:rsidRDefault="00C15A6C" w:rsidP="00BD59CB">
      <w:pPr>
        <w:pStyle w:val="Heading3"/>
      </w:pPr>
      <w:bookmarkStart w:id="56" w:name="_Toc5629744"/>
      <w:r>
        <w:t>3.4.4</w:t>
      </w:r>
      <w:r w:rsidR="0035149D">
        <w:tab/>
      </w:r>
      <w:r>
        <w:t xml:space="preserve">Bioinformatics </w:t>
      </w:r>
      <w:r w:rsidR="008F0779">
        <w:t>concerning</w:t>
      </w:r>
      <w:r>
        <w:t xml:space="preserve"> potential for toxicity</w:t>
      </w:r>
      <w:bookmarkEnd w:id="56"/>
      <w:r>
        <w:t xml:space="preserve"> </w:t>
      </w:r>
    </w:p>
    <w:p w14:paraId="1EA39ABC" w14:textId="098B03FF" w:rsidR="00095A54" w:rsidRDefault="00054480" w:rsidP="00C15A6C">
      <w:pPr>
        <w:rPr>
          <w:b/>
          <w:i/>
          <w:lang w:bidi="ar-SA"/>
        </w:rPr>
      </w:pPr>
      <w:r>
        <w:t>The a</w:t>
      </w:r>
      <w:r w:rsidR="00923B2F">
        <w:t xml:space="preserve">pplicant provided results from </w:t>
      </w:r>
      <w:r w:rsidR="00923B2F" w:rsidRPr="00EB5D13">
        <w:rPr>
          <w:i/>
        </w:rPr>
        <w:t>in silico</w:t>
      </w:r>
      <w:r w:rsidR="00923B2F" w:rsidRPr="00F04AB9">
        <w:t xml:space="preserve"> </w:t>
      </w:r>
      <w:r w:rsidR="00923B2F">
        <w:t xml:space="preserve">analyses comparing the amino acid sequence for the </w:t>
      </w:r>
      <w:r w:rsidR="00923B2F">
        <w:rPr>
          <w:rFonts w:cs="Arial"/>
        </w:rPr>
        <w:t>gl</w:t>
      </w:r>
      <w:r w:rsidR="00285CF5">
        <w:rPr>
          <w:rFonts w:cs="Arial"/>
        </w:rPr>
        <w:t>u</w:t>
      </w:r>
      <w:r w:rsidR="00923B2F">
        <w:rPr>
          <w:rFonts w:cs="Arial"/>
        </w:rPr>
        <w:t>coamylase</w:t>
      </w:r>
      <w:r w:rsidR="00923B2F">
        <w:t xml:space="preserve"> protein to</w:t>
      </w:r>
      <w:r w:rsidR="00923B2F" w:rsidRPr="00F01809">
        <w:t xml:space="preserve"> </w:t>
      </w:r>
      <w:r w:rsidR="00923B2F">
        <w:t>known</w:t>
      </w:r>
      <w:r w:rsidR="00923B2F" w:rsidRPr="00F01809">
        <w:t xml:space="preserve"> </w:t>
      </w:r>
      <w:r w:rsidR="00923B2F">
        <w:t xml:space="preserve">protein toxins identified in the </w:t>
      </w:r>
      <w:hyperlink r:id="rId26" w:history="1">
        <w:r w:rsidR="0047616E" w:rsidRPr="0047616E">
          <w:rPr>
            <w:rStyle w:val="Hyperlink"/>
          </w:rPr>
          <w:t>UniProt</w:t>
        </w:r>
      </w:hyperlink>
      <w:r w:rsidR="0047616E">
        <w:rPr>
          <w:rStyle w:val="FootnoteReference"/>
        </w:rPr>
        <w:footnoteReference w:id="6"/>
      </w:r>
      <w:r w:rsidR="0047616E">
        <w:t xml:space="preserve"> </w:t>
      </w:r>
      <w:r w:rsidR="00923B2F">
        <w:t xml:space="preserve">database. </w:t>
      </w:r>
      <w:r w:rsidR="0047616E">
        <w:t>No significant similarity was found between the gl</w:t>
      </w:r>
      <w:r w:rsidR="00285CF5">
        <w:t>u</w:t>
      </w:r>
      <w:r w:rsidR="0047616E">
        <w:t>coamylase protein to any known protein toxins</w:t>
      </w:r>
      <w:r w:rsidR="00923B2F">
        <w:t xml:space="preserve">, </w:t>
      </w:r>
      <w:r w:rsidR="0047616E">
        <w:t>t</w:t>
      </w:r>
      <w:r w:rsidR="002E6AC7">
        <w:t>h</w:t>
      </w:r>
      <w:r w:rsidR="0047616E">
        <w:t xml:space="preserve">us </w:t>
      </w:r>
      <w:r w:rsidR="00923B2F">
        <w:t>it can be concluded that the toxigenic potential of this protein is low.</w:t>
      </w:r>
    </w:p>
    <w:p w14:paraId="382E8460" w14:textId="20F74FA3" w:rsidR="00C15A6C" w:rsidRDefault="00C15A6C" w:rsidP="00BD59CB">
      <w:pPr>
        <w:pStyle w:val="Heading3"/>
      </w:pPr>
      <w:bookmarkStart w:id="57" w:name="_Toc5629745"/>
      <w:r>
        <w:t>3.4.5</w:t>
      </w:r>
      <w:r w:rsidR="0035149D">
        <w:tab/>
      </w:r>
      <w:r>
        <w:t xml:space="preserve">Bioinformatics </w:t>
      </w:r>
      <w:r w:rsidR="008F0779">
        <w:t xml:space="preserve">concerning </w:t>
      </w:r>
      <w:r>
        <w:t>potential for allergenicity</w:t>
      </w:r>
      <w:bookmarkEnd w:id="57"/>
      <w:r>
        <w:t xml:space="preserve"> </w:t>
      </w:r>
    </w:p>
    <w:p w14:paraId="2422146C" w14:textId="32A8FBA5" w:rsidR="00125694" w:rsidRDefault="00125694" w:rsidP="005E150C">
      <w:pPr>
        <w:rPr>
          <w:lang w:bidi="ar-SA"/>
        </w:rPr>
      </w:pPr>
      <w:r>
        <w:rPr>
          <w:lang w:bidi="ar-SA"/>
        </w:rPr>
        <w:t xml:space="preserve">Sequence homology assessment to known allergens </w:t>
      </w:r>
      <w:r w:rsidR="00285CF5">
        <w:rPr>
          <w:lang w:bidi="ar-SA"/>
        </w:rPr>
        <w:t xml:space="preserve">was conducted by the </w:t>
      </w:r>
      <w:r w:rsidR="00054480">
        <w:rPr>
          <w:lang w:bidi="ar-SA"/>
        </w:rPr>
        <w:t>a</w:t>
      </w:r>
      <w:r w:rsidR="00285CF5">
        <w:rPr>
          <w:lang w:bidi="ar-SA"/>
        </w:rPr>
        <w:t xml:space="preserve">pplicant by comparing the glucoamylase to the databases of </w:t>
      </w:r>
      <w:r>
        <w:rPr>
          <w:lang w:bidi="ar-SA"/>
        </w:rPr>
        <w:t>FARRP (</w:t>
      </w:r>
      <w:hyperlink r:id="rId27" w:history="1">
        <w:r w:rsidRPr="0009563F">
          <w:rPr>
            <w:rStyle w:val="Hyperlink"/>
            <w:lang w:bidi="ar-SA"/>
          </w:rPr>
          <w:t>http://www.allergenonline.org</w:t>
        </w:r>
      </w:hyperlink>
      <w:r>
        <w:rPr>
          <w:lang w:bidi="ar-SA"/>
        </w:rPr>
        <w:t xml:space="preserve">) and the World Health Organisation and International Union of Immunological Societies (WHO/IUIS) Allergen </w:t>
      </w:r>
      <w:r w:rsidR="00285CF5">
        <w:rPr>
          <w:lang w:bidi="ar-SA"/>
        </w:rPr>
        <w:t>Nomenclature Sub-committee (</w:t>
      </w:r>
      <w:hyperlink r:id="rId28" w:history="1">
        <w:r w:rsidR="00285CF5" w:rsidRPr="0009563F">
          <w:rPr>
            <w:rStyle w:val="Hyperlink"/>
            <w:lang w:bidi="ar-SA"/>
          </w:rPr>
          <w:t>http://www.allergen.org</w:t>
        </w:r>
      </w:hyperlink>
      <w:r w:rsidR="00285CF5">
        <w:rPr>
          <w:lang w:bidi="ar-SA"/>
        </w:rPr>
        <w:t xml:space="preserve">). </w:t>
      </w:r>
      <w:r w:rsidR="00285CF5" w:rsidRPr="00D861A5">
        <w:rPr>
          <w:lang w:bidi="ar-SA"/>
        </w:rPr>
        <w:t>Using the 80</w:t>
      </w:r>
      <w:r w:rsidR="008D5293" w:rsidRPr="00D861A5">
        <w:rPr>
          <w:lang w:bidi="ar-SA"/>
        </w:rPr>
        <w:t>-</w:t>
      </w:r>
      <w:r w:rsidR="00285CF5" w:rsidRPr="00D861A5">
        <w:rPr>
          <w:lang w:bidi="ar-SA"/>
        </w:rPr>
        <w:t xml:space="preserve"> </w:t>
      </w:r>
      <w:r w:rsidR="008D5293" w:rsidRPr="00D861A5">
        <w:rPr>
          <w:lang w:bidi="ar-SA"/>
        </w:rPr>
        <w:t>mer</w:t>
      </w:r>
      <w:r w:rsidR="00285CF5" w:rsidRPr="00D861A5">
        <w:rPr>
          <w:lang w:bidi="ar-SA"/>
        </w:rPr>
        <w:t xml:space="preserve"> sliding window search, </w:t>
      </w:r>
      <w:r w:rsidR="005251A4" w:rsidRPr="00D861A5">
        <w:rPr>
          <w:lang w:bidi="ar-SA"/>
        </w:rPr>
        <w:t xml:space="preserve">significant similarity (E value &lt;1 x 10-7) was found to </w:t>
      </w:r>
      <w:r w:rsidR="00285CF5" w:rsidRPr="00D861A5">
        <w:rPr>
          <w:lang w:bidi="ar-SA"/>
        </w:rPr>
        <w:t>the glucoamylase</w:t>
      </w:r>
      <w:r w:rsidR="003B0180" w:rsidRPr="00D861A5">
        <w:rPr>
          <w:lang w:bidi="ar-SA"/>
        </w:rPr>
        <w:t xml:space="preserve"> from</w:t>
      </w:r>
      <w:r w:rsidR="00285CF5" w:rsidRPr="00D861A5">
        <w:rPr>
          <w:lang w:bidi="ar-SA"/>
        </w:rPr>
        <w:t xml:space="preserve"> </w:t>
      </w:r>
      <w:r w:rsidR="00285CF5" w:rsidRPr="00E60FB7">
        <w:rPr>
          <w:i/>
          <w:lang w:bidi="ar-SA"/>
        </w:rPr>
        <w:t>Schizophyllum commune</w:t>
      </w:r>
      <w:r w:rsidR="00285CF5" w:rsidRPr="00D861A5">
        <w:rPr>
          <w:lang w:bidi="ar-SA"/>
        </w:rPr>
        <w:t xml:space="preserve"> </w:t>
      </w:r>
      <w:r w:rsidR="00730024" w:rsidRPr="00D861A5">
        <w:rPr>
          <w:lang w:bidi="ar-SA"/>
        </w:rPr>
        <w:t>(splitgill mushroom)</w:t>
      </w:r>
      <w:r w:rsidR="00371FFA" w:rsidRPr="00D861A5">
        <w:rPr>
          <w:lang w:bidi="ar-SA"/>
        </w:rPr>
        <w:t>.</w:t>
      </w:r>
      <w:r w:rsidR="00285CF5" w:rsidRPr="00D861A5">
        <w:rPr>
          <w:lang w:bidi="ar-SA"/>
        </w:rPr>
        <w:t xml:space="preserve"> </w:t>
      </w:r>
      <w:r w:rsidR="005251A4" w:rsidRPr="00D861A5">
        <w:rPr>
          <w:lang w:bidi="ar-SA"/>
        </w:rPr>
        <w:t xml:space="preserve">The glucoamylase from </w:t>
      </w:r>
      <w:r w:rsidR="003B0180" w:rsidRPr="00E60FB7">
        <w:rPr>
          <w:i/>
          <w:lang w:bidi="ar-SA"/>
        </w:rPr>
        <w:t>S.</w:t>
      </w:r>
      <w:r w:rsidR="00FA225E">
        <w:rPr>
          <w:i/>
          <w:lang w:bidi="ar-SA"/>
        </w:rPr>
        <w:t> </w:t>
      </w:r>
      <w:r w:rsidR="003B0180" w:rsidRPr="00E60FB7">
        <w:rPr>
          <w:i/>
          <w:lang w:bidi="ar-SA"/>
        </w:rPr>
        <w:t>commune</w:t>
      </w:r>
      <w:r w:rsidR="003B0180" w:rsidRPr="00D861A5">
        <w:rPr>
          <w:lang w:bidi="ar-SA"/>
        </w:rPr>
        <w:t xml:space="preserve"> has been </w:t>
      </w:r>
      <w:r w:rsidR="005251A4" w:rsidRPr="00D861A5">
        <w:rPr>
          <w:lang w:bidi="ar-SA"/>
        </w:rPr>
        <w:t>identified as a</w:t>
      </w:r>
      <w:r w:rsidR="003B0180" w:rsidRPr="00D861A5">
        <w:rPr>
          <w:lang w:bidi="ar-SA"/>
        </w:rPr>
        <w:t xml:space="preserve"> respiratory allerg</w:t>
      </w:r>
      <w:r w:rsidR="005251A4" w:rsidRPr="00D861A5">
        <w:rPr>
          <w:lang w:bidi="ar-SA"/>
        </w:rPr>
        <w:t>en, associated with</w:t>
      </w:r>
      <w:r w:rsidR="003B0180" w:rsidRPr="00D861A5">
        <w:rPr>
          <w:lang w:bidi="ar-SA"/>
        </w:rPr>
        <w:t xml:space="preserve"> </w:t>
      </w:r>
      <w:r w:rsidR="005251A4" w:rsidRPr="00D861A5">
        <w:rPr>
          <w:lang w:bidi="ar-SA"/>
        </w:rPr>
        <w:t xml:space="preserve">fungal </w:t>
      </w:r>
      <w:r w:rsidR="003B0180" w:rsidRPr="00D861A5">
        <w:rPr>
          <w:lang w:bidi="ar-SA"/>
        </w:rPr>
        <w:t>rhinitis, sinusitis and allergic bronchopulmonary mycosis</w:t>
      </w:r>
      <w:r w:rsidR="005251A4" w:rsidRPr="00D861A5">
        <w:rPr>
          <w:lang w:bidi="ar-SA"/>
        </w:rPr>
        <w:t xml:space="preserve"> (Toyotome et al, 2014)</w:t>
      </w:r>
      <w:r w:rsidR="003B0180" w:rsidRPr="00D861A5">
        <w:rPr>
          <w:lang w:bidi="ar-SA"/>
        </w:rPr>
        <w:t xml:space="preserve">. There have been no reports of allergic reactions associated with the consumption of </w:t>
      </w:r>
      <w:r w:rsidR="003B0180" w:rsidRPr="00E60FB7">
        <w:rPr>
          <w:i/>
          <w:lang w:bidi="ar-SA"/>
        </w:rPr>
        <w:t>S. commune</w:t>
      </w:r>
      <w:r w:rsidR="003B0180" w:rsidRPr="00D861A5">
        <w:rPr>
          <w:lang w:bidi="ar-SA"/>
        </w:rPr>
        <w:t xml:space="preserve">, which is </w:t>
      </w:r>
      <w:r w:rsidR="008D5293" w:rsidRPr="00D861A5">
        <w:rPr>
          <w:lang w:bidi="ar-SA"/>
        </w:rPr>
        <w:t>eaten</w:t>
      </w:r>
      <w:r w:rsidR="003B0180" w:rsidRPr="00D861A5">
        <w:rPr>
          <w:lang w:bidi="ar-SA"/>
        </w:rPr>
        <w:t xml:space="preserve"> in Africa, Asia, the Indian subcontinent, and central America. </w:t>
      </w:r>
      <w:r w:rsidR="005251A4" w:rsidRPr="00D861A5">
        <w:rPr>
          <w:lang w:bidi="ar-SA"/>
        </w:rPr>
        <w:t>Further</w:t>
      </w:r>
      <w:r w:rsidR="00EF73D9" w:rsidRPr="00D861A5">
        <w:rPr>
          <w:lang w:bidi="ar-SA"/>
        </w:rPr>
        <w:t xml:space="preserve"> analysis</w:t>
      </w:r>
      <w:r w:rsidR="001927C1" w:rsidRPr="00D861A5">
        <w:rPr>
          <w:lang w:bidi="ar-SA"/>
        </w:rPr>
        <w:t xml:space="preserve"> </w:t>
      </w:r>
      <w:r w:rsidR="00EF73D9" w:rsidRPr="00D861A5">
        <w:rPr>
          <w:lang w:bidi="ar-SA"/>
        </w:rPr>
        <w:t xml:space="preserve">showed that </w:t>
      </w:r>
      <w:r w:rsidR="001927C1" w:rsidRPr="00D861A5">
        <w:rPr>
          <w:lang w:bidi="ar-SA"/>
        </w:rPr>
        <w:t xml:space="preserve">the </w:t>
      </w:r>
      <w:r w:rsidR="005251A4" w:rsidRPr="00D861A5">
        <w:rPr>
          <w:lang w:bidi="ar-SA"/>
        </w:rPr>
        <w:t xml:space="preserve">high </w:t>
      </w:r>
      <w:r w:rsidR="003B0180" w:rsidRPr="00D861A5">
        <w:rPr>
          <w:lang w:bidi="ar-SA"/>
        </w:rPr>
        <w:t xml:space="preserve">degree of homology </w:t>
      </w:r>
      <w:r w:rsidR="00EF73D9" w:rsidRPr="00D861A5">
        <w:rPr>
          <w:lang w:bidi="ar-SA"/>
        </w:rPr>
        <w:t>occurred</w:t>
      </w:r>
      <w:r w:rsidR="005251A4" w:rsidRPr="00D861A5">
        <w:rPr>
          <w:lang w:bidi="ar-SA"/>
        </w:rPr>
        <w:t xml:space="preserve"> </w:t>
      </w:r>
      <w:r w:rsidR="003B0180" w:rsidRPr="00D861A5">
        <w:rPr>
          <w:lang w:bidi="ar-SA"/>
        </w:rPr>
        <w:t xml:space="preserve">in </w:t>
      </w:r>
      <w:r w:rsidR="005251A4" w:rsidRPr="00D861A5">
        <w:rPr>
          <w:lang w:bidi="ar-SA"/>
        </w:rPr>
        <w:t>a</w:t>
      </w:r>
      <w:r w:rsidR="003B0180" w:rsidRPr="00D861A5">
        <w:rPr>
          <w:lang w:bidi="ar-SA"/>
        </w:rPr>
        <w:t xml:space="preserve"> distinct region</w:t>
      </w:r>
      <w:r w:rsidR="001927C1" w:rsidRPr="00D861A5">
        <w:rPr>
          <w:lang w:bidi="ar-SA"/>
        </w:rPr>
        <w:t>,</w:t>
      </w:r>
      <w:r w:rsidR="005251A4" w:rsidRPr="00D861A5">
        <w:rPr>
          <w:lang w:bidi="ar-SA"/>
        </w:rPr>
        <w:t xml:space="preserve"> whereas</w:t>
      </w:r>
      <w:r w:rsidR="001927C1" w:rsidRPr="00D861A5">
        <w:rPr>
          <w:lang w:bidi="ar-SA"/>
        </w:rPr>
        <w:t xml:space="preserve"> homology of the full length proteins is only 49%. </w:t>
      </w:r>
      <w:r w:rsidR="00EF73D9" w:rsidRPr="00D861A5">
        <w:rPr>
          <w:lang w:bidi="ar-SA"/>
        </w:rPr>
        <w:t>The</w:t>
      </w:r>
      <w:r w:rsidR="001927C1" w:rsidRPr="00D861A5">
        <w:rPr>
          <w:lang w:bidi="ar-SA"/>
        </w:rPr>
        <w:t xml:space="preserve"> glucoamylase from </w:t>
      </w:r>
      <w:r w:rsidR="001927C1" w:rsidRPr="00E60FB7">
        <w:rPr>
          <w:i/>
          <w:lang w:bidi="ar-SA"/>
        </w:rPr>
        <w:t>T. emersonii</w:t>
      </w:r>
      <w:r w:rsidR="001927C1" w:rsidRPr="00D861A5">
        <w:rPr>
          <w:lang w:bidi="ar-SA"/>
        </w:rPr>
        <w:t xml:space="preserve"> </w:t>
      </w:r>
      <w:r w:rsidR="00EF73D9" w:rsidRPr="00D861A5">
        <w:rPr>
          <w:lang w:bidi="ar-SA"/>
        </w:rPr>
        <w:t>shows greater</w:t>
      </w:r>
      <w:r w:rsidR="001927C1" w:rsidRPr="00D861A5">
        <w:rPr>
          <w:lang w:bidi="ar-SA"/>
        </w:rPr>
        <w:t xml:space="preserve"> similar</w:t>
      </w:r>
      <w:r w:rsidR="00EF73D9" w:rsidRPr="00D861A5">
        <w:rPr>
          <w:lang w:bidi="ar-SA"/>
        </w:rPr>
        <w:t>ity</w:t>
      </w:r>
      <w:r w:rsidR="001927C1" w:rsidRPr="00D861A5">
        <w:rPr>
          <w:lang w:bidi="ar-SA"/>
        </w:rPr>
        <w:t xml:space="preserve"> to the same protein in </w:t>
      </w:r>
      <w:r w:rsidR="001927C1" w:rsidRPr="00E60FB7">
        <w:rPr>
          <w:i/>
          <w:lang w:bidi="ar-SA"/>
        </w:rPr>
        <w:t>Penicillium camemberti</w:t>
      </w:r>
      <w:r w:rsidR="001927C1" w:rsidRPr="00D861A5">
        <w:rPr>
          <w:lang w:bidi="ar-SA"/>
        </w:rPr>
        <w:t xml:space="preserve"> (63%), which is used in the production of camembert and</w:t>
      </w:r>
      <w:r w:rsidR="00F44124" w:rsidRPr="00D861A5">
        <w:rPr>
          <w:lang w:bidi="ar-SA"/>
        </w:rPr>
        <w:t xml:space="preserve"> brie, common foods in Australia and New Zealand. </w:t>
      </w:r>
      <w:r w:rsidR="00113C05" w:rsidRPr="00D861A5">
        <w:rPr>
          <w:lang w:bidi="ar-SA"/>
        </w:rPr>
        <w:t xml:space="preserve">The homology </w:t>
      </w:r>
      <w:r w:rsidR="00EF73D9" w:rsidRPr="00D861A5">
        <w:rPr>
          <w:lang w:bidi="ar-SA"/>
        </w:rPr>
        <w:t xml:space="preserve">therefore </w:t>
      </w:r>
      <w:r w:rsidR="00113C05" w:rsidRPr="00D861A5">
        <w:rPr>
          <w:lang w:bidi="ar-SA"/>
        </w:rPr>
        <w:t xml:space="preserve">between the </w:t>
      </w:r>
      <w:r w:rsidR="00EF73D9" w:rsidRPr="00D861A5">
        <w:rPr>
          <w:lang w:bidi="ar-SA"/>
        </w:rPr>
        <w:t xml:space="preserve">recombinant </w:t>
      </w:r>
      <w:r w:rsidR="00113C05" w:rsidRPr="00D861A5">
        <w:rPr>
          <w:lang w:bidi="ar-SA"/>
        </w:rPr>
        <w:t>glucoamylase</w:t>
      </w:r>
      <w:r w:rsidR="00EF73D9" w:rsidRPr="00D861A5">
        <w:rPr>
          <w:lang w:bidi="ar-SA"/>
        </w:rPr>
        <w:t xml:space="preserve"> to that of </w:t>
      </w:r>
      <w:r w:rsidR="00EF73D9" w:rsidRPr="00E60FB7">
        <w:rPr>
          <w:i/>
          <w:lang w:bidi="ar-SA"/>
        </w:rPr>
        <w:t>S. commune</w:t>
      </w:r>
      <w:r w:rsidR="00113C05" w:rsidRPr="00D861A5">
        <w:rPr>
          <w:lang w:bidi="ar-SA"/>
        </w:rPr>
        <w:t xml:space="preserve"> is not considered to represent a food safety hazard. </w:t>
      </w:r>
    </w:p>
    <w:p w14:paraId="1F5029F5" w14:textId="77777777" w:rsidR="00125694" w:rsidRDefault="00125694" w:rsidP="005E150C">
      <w:pPr>
        <w:rPr>
          <w:lang w:bidi="ar-SA"/>
        </w:rPr>
      </w:pPr>
    </w:p>
    <w:p w14:paraId="4D9C4F84" w14:textId="6D99A382" w:rsidR="006C2320" w:rsidRPr="005E150C" w:rsidRDefault="00125694" w:rsidP="005E150C">
      <w:pPr>
        <w:rPr>
          <w:lang w:bidi="ar-SA"/>
        </w:rPr>
      </w:pPr>
      <w:r>
        <w:rPr>
          <w:lang w:bidi="ar-SA"/>
        </w:rPr>
        <w:lastRenderedPageBreak/>
        <w:t>In addition to t</w:t>
      </w:r>
      <w:r w:rsidR="00054480">
        <w:rPr>
          <w:lang w:bidi="ar-SA"/>
        </w:rPr>
        <w:t>he bioinformatic searches, the a</w:t>
      </w:r>
      <w:r>
        <w:rPr>
          <w:lang w:bidi="ar-SA"/>
        </w:rPr>
        <w:t xml:space="preserve">pplicant provided the Product Data Sheet for the commercial enzyme. This states that the following allergens are not present: celery, cereals containing gluten, crustaceans, egg, fish, lupin, milk (including lactose), molluscs, mustard, nuts, peanuts, sesame, soy, sulphur dioxide/sulphites. </w:t>
      </w:r>
    </w:p>
    <w:p w14:paraId="50E61499" w14:textId="7C047433" w:rsidR="00C15A6C" w:rsidRDefault="00C15A6C" w:rsidP="00BD59CB">
      <w:pPr>
        <w:pStyle w:val="Heading3"/>
      </w:pPr>
      <w:bookmarkStart w:id="58" w:name="_Toc5629746"/>
      <w:r>
        <w:t>3.4.6</w:t>
      </w:r>
      <w:r w:rsidR="0035149D">
        <w:tab/>
      </w:r>
      <w:r>
        <w:t>Approvals by other regulatory agencies</w:t>
      </w:r>
      <w:bookmarkEnd w:id="58"/>
    </w:p>
    <w:p w14:paraId="422056D4" w14:textId="59FAE512" w:rsidR="00A30707" w:rsidRDefault="00054480" w:rsidP="007159D8">
      <w:pPr>
        <w:autoSpaceDE w:val="0"/>
        <w:autoSpaceDN w:val="0"/>
        <w:adjustRightInd w:val="0"/>
        <w:rPr>
          <w:rFonts w:cs="Arial"/>
        </w:rPr>
      </w:pPr>
      <w:r>
        <w:rPr>
          <w:lang w:bidi="ar-SA"/>
        </w:rPr>
        <w:t>The a</w:t>
      </w:r>
      <w:r w:rsidR="00D36531">
        <w:rPr>
          <w:lang w:bidi="ar-SA"/>
        </w:rPr>
        <w:t>pplicant provided letters of approval from Danish authorities for the use of the enzyme for production of glucose syrup, alcohol and beer, dated 2008, and for baking applications, dated 2011. The evaluations had been made in accordance with EFSA</w:t>
      </w:r>
      <w:r w:rsidR="00D626CA">
        <w:rPr>
          <w:lang w:bidi="ar-SA"/>
        </w:rPr>
        <w:t xml:space="preserve"> g</w:t>
      </w:r>
      <w:r w:rsidR="00D36531">
        <w:rPr>
          <w:lang w:bidi="ar-SA"/>
        </w:rPr>
        <w:t>uidelines for the presentation of data on food enzymes.</w:t>
      </w:r>
    </w:p>
    <w:p w14:paraId="42ED36EE" w14:textId="5998B0C6" w:rsidR="00AF0509" w:rsidRPr="00E96E59" w:rsidRDefault="00AF0509" w:rsidP="00E96E59">
      <w:pPr>
        <w:pStyle w:val="Heading1"/>
        <w:ind w:left="567" w:hanging="567"/>
        <w:rPr>
          <w:sz w:val="28"/>
        </w:rPr>
      </w:pPr>
      <w:bookmarkStart w:id="59" w:name="_Toc5629747"/>
      <w:bookmarkStart w:id="60" w:name="_Toc501699836"/>
      <w:r w:rsidRPr="00E96E59">
        <w:rPr>
          <w:sz w:val="28"/>
        </w:rPr>
        <w:t>4</w:t>
      </w:r>
      <w:r w:rsidR="00E96E59" w:rsidRPr="00E96E59">
        <w:rPr>
          <w:sz w:val="28"/>
        </w:rPr>
        <w:tab/>
      </w:r>
      <w:r w:rsidRPr="00E96E59">
        <w:rPr>
          <w:sz w:val="28"/>
        </w:rPr>
        <w:t>Discussion</w:t>
      </w:r>
      <w:bookmarkEnd w:id="59"/>
    </w:p>
    <w:p w14:paraId="4E4A3833" w14:textId="1D9372F1" w:rsidR="00054E1D" w:rsidRDefault="00752EB4" w:rsidP="00E96E59">
      <w:r>
        <w:t xml:space="preserve">No public health and safety issues were identified with the production strain. </w:t>
      </w:r>
      <w:r w:rsidRPr="00752EB4">
        <w:rPr>
          <w:i/>
        </w:rPr>
        <w:t>A. niger</w:t>
      </w:r>
      <w:r w:rsidR="00054E1D">
        <w:t xml:space="preserve"> is not </w:t>
      </w:r>
      <w:r>
        <w:t xml:space="preserve">a </w:t>
      </w:r>
      <w:r w:rsidR="00054E1D">
        <w:t>pathogenic</w:t>
      </w:r>
      <w:r>
        <w:t xml:space="preserve"> organism</w:t>
      </w:r>
      <w:r w:rsidR="00054E1D">
        <w:t xml:space="preserve"> and is absent in the final enzyme preparation proposed to be used as a food processing aid. </w:t>
      </w:r>
      <w:r w:rsidRPr="00752EB4">
        <w:rPr>
          <w:i/>
        </w:rPr>
        <w:t>A. niger</w:t>
      </w:r>
      <w:r>
        <w:t xml:space="preserve"> </w:t>
      </w:r>
      <w:r w:rsidR="00054E1D">
        <w:t>has a history of safe use as the production organism for a number of enzyme processing aids that are already permitted in the Code.</w:t>
      </w:r>
      <w:r>
        <w:t xml:space="preserve"> </w:t>
      </w:r>
      <w:r w:rsidR="00054E1D">
        <w:t xml:space="preserve">Molecular characterisation of the production strain has confirmed the </w:t>
      </w:r>
      <w:r w:rsidR="007B4D09" w:rsidRPr="007B4D09">
        <w:t>insertion and genetic stability of the novel DNA.</w:t>
      </w:r>
    </w:p>
    <w:p w14:paraId="2E757D35" w14:textId="77777777" w:rsidR="000A77E3" w:rsidRDefault="000A77E3" w:rsidP="000A77E3"/>
    <w:p w14:paraId="6C51325E" w14:textId="5E0A78BA" w:rsidR="000A77E3" w:rsidRDefault="000A77E3" w:rsidP="000A77E3">
      <w:r>
        <w:t xml:space="preserve">No public health and safety concerns associated with the use of glucoamylase from </w:t>
      </w:r>
      <w:r w:rsidR="0055568B">
        <w:t>GM</w:t>
      </w:r>
      <w:r>
        <w:t xml:space="preserve"> </w:t>
      </w:r>
      <w:r w:rsidR="00345FF5" w:rsidRPr="001B70F7">
        <w:rPr>
          <w:i/>
        </w:rPr>
        <w:t>A</w:t>
      </w:r>
      <w:r w:rsidR="00345FF5">
        <w:rPr>
          <w:i/>
        </w:rPr>
        <w:t>.</w:t>
      </w:r>
      <w:r w:rsidR="00FA225E">
        <w:rPr>
          <w:i/>
        </w:rPr>
        <w:t> </w:t>
      </w:r>
      <w:r w:rsidRPr="001B70F7">
        <w:rPr>
          <w:i/>
        </w:rPr>
        <w:t>niger</w:t>
      </w:r>
      <w:r>
        <w:t xml:space="preserve"> were identified as a result of this hazard assessment. This specific glucoamylase has a history of safe use in several other countries, with the earliest specified date of approval being 2008. Other glucoamylases from a large number of microbial sources have been widely used in the food industry since the 1960s.</w:t>
      </w:r>
    </w:p>
    <w:p w14:paraId="0206315F" w14:textId="77777777" w:rsidR="000A77E3" w:rsidRDefault="000A77E3" w:rsidP="000A77E3"/>
    <w:p w14:paraId="2865AB48" w14:textId="26521F71" w:rsidR="000A77E3" w:rsidRDefault="000A77E3" w:rsidP="000A77E3">
      <w:r>
        <w:t>Gluc</w:t>
      </w:r>
      <w:r w:rsidR="00CC71B8">
        <w:t>oamylase, from</w:t>
      </w:r>
      <w:r>
        <w:t xml:space="preserve"> a strain of </w:t>
      </w:r>
      <w:r w:rsidR="00345FF5" w:rsidRPr="00CE7FBA">
        <w:rPr>
          <w:i/>
        </w:rPr>
        <w:t>A</w:t>
      </w:r>
      <w:r w:rsidR="00345FF5">
        <w:rPr>
          <w:i/>
        </w:rPr>
        <w:t>.</w:t>
      </w:r>
      <w:r w:rsidR="00345FF5" w:rsidRPr="00CE7FBA">
        <w:rPr>
          <w:i/>
        </w:rPr>
        <w:t xml:space="preserve"> </w:t>
      </w:r>
      <w:r w:rsidRPr="00CE7FBA">
        <w:rPr>
          <w:i/>
        </w:rPr>
        <w:t>niger</w:t>
      </w:r>
      <w:r>
        <w:t xml:space="preserve"> of the same strain lineage as the production strain of the glucoamylase that is the subject of this application, was the test article in a 13-week oral gavage study in CD rats. The </w:t>
      </w:r>
      <w:r w:rsidR="00694FC9">
        <w:t>NOAEL</w:t>
      </w:r>
      <w:r>
        <w:t xml:space="preserve"> was the highest dose tested, 10 mL/kg bw/day, which when expressed as TOS is 1.47 g/kg bw/day.</w:t>
      </w:r>
      <w:r w:rsidR="00652372">
        <w:t xml:space="preserve"> </w:t>
      </w:r>
      <w:r w:rsidR="00CC71B8" w:rsidRPr="00CC71B8">
        <w:t>The Theoretical Maximum Daily Intake (TMDI) of glucoamylase is 6.16 mg TOS/kg bw/day resulting in a Margin of Exposure (MoE) of 240 between the NOAEL and TMDI.</w:t>
      </w:r>
    </w:p>
    <w:p w14:paraId="672D3AE2" w14:textId="77777777" w:rsidR="00CC71B8" w:rsidRDefault="00CC71B8" w:rsidP="000A77E3"/>
    <w:p w14:paraId="5F68A5B2" w14:textId="77777777" w:rsidR="000A77E3" w:rsidRDefault="000A77E3" w:rsidP="000A77E3">
      <w:r>
        <w:t xml:space="preserve">Genotoxicity assays of the glucoamylase that is the subject of this application, comprising a bacterial reverse mutation assay (Ames test) and a micronucleus assay in cultured human peripheral blood lymphocytes, did not show any evidence of genotoxicity. </w:t>
      </w:r>
    </w:p>
    <w:p w14:paraId="4CA994E0" w14:textId="77777777" w:rsidR="000A77E3" w:rsidRDefault="000A77E3" w:rsidP="000A77E3"/>
    <w:p w14:paraId="21612D51" w14:textId="3C4D719F" w:rsidR="00AF0509" w:rsidRPr="00D861A5" w:rsidRDefault="000A77E3" w:rsidP="000A77E3">
      <w:r w:rsidRPr="00D861A5">
        <w:t xml:space="preserve">Bioinformatic </w:t>
      </w:r>
      <w:r w:rsidR="00EF73D9" w:rsidRPr="00D861A5">
        <w:t xml:space="preserve">analyses did </w:t>
      </w:r>
      <w:r w:rsidRPr="00D861A5">
        <w:t>identif</w:t>
      </w:r>
      <w:r w:rsidR="00EF73D9" w:rsidRPr="00D861A5">
        <w:t>y</w:t>
      </w:r>
      <w:r w:rsidR="006510A9" w:rsidRPr="00D861A5">
        <w:t xml:space="preserve"> </w:t>
      </w:r>
      <w:r w:rsidRPr="00D861A5">
        <w:t xml:space="preserve">a </w:t>
      </w:r>
      <w:r w:rsidR="00EF73D9" w:rsidRPr="00D861A5">
        <w:t xml:space="preserve">high degree of </w:t>
      </w:r>
      <w:r w:rsidRPr="00D861A5">
        <w:t xml:space="preserve">homology </w:t>
      </w:r>
      <w:r w:rsidR="00EF73D9" w:rsidRPr="00D861A5">
        <w:t xml:space="preserve">between the recombinant glucoamylase to that of a </w:t>
      </w:r>
      <w:r w:rsidR="006510A9" w:rsidRPr="00D861A5">
        <w:t xml:space="preserve">respiratory </w:t>
      </w:r>
      <w:r w:rsidRPr="00D861A5">
        <w:t>allergen</w:t>
      </w:r>
      <w:r w:rsidR="00EF73D9" w:rsidRPr="00D861A5">
        <w:t xml:space="preserve"> </w:t>
      </w:r>
      <w:r w:rsidR="008D5293" w:rsidRPr="00D861A5">
        <w:t>but</w:t>
      </w:r>
      <w:r w:rsidR="00EF73D9" w:rsidRPr="00D861A5">
        <w:t xml:space="preserve"> further analysis</w:t>
      </w:r>
      <w:r w:rsidR="008D5293" w:rsidRPr="00D861A5">
        <w:t xml:space="preserve"> indicated </w:t>
      </w:r>
      <w:r w:rsidR="00EF73D9" w:rsidRPr="00D861A5">
        <w:t xml:space="preserve">that the glucoamylase from </w:t>
      </w:r>
      <w:r w:rsidR="00EF73D9" w:rsidRPr="00676F26">
        <w:rPr>
          <w:i/>
        </w:rPr>
        <w:t>T. emersonii</w:t>
      </w:r>
      <w:r w:rsidR="00EF73D9" w:rsidRPr="00D861A5">
        <w:t xml:space="preserve"> expressed in </w:t>
      </w:r>
      <w:r w:rsidR="00EF73D9" w:rsidRPr="00676F26">
        <w:rPr>
          <w:i/>
        </w:rPr>
        <w:t>A. niger</w:t>
      </w:r>
      <w:r w:rsidR="00EF73D9" w:rsidRPr="00D861A5">
        <w:t xml:space="preserve"> </w:t>
      </w:r>
      <w:r w:rsidR="008D5293" w:rsidRPr="00D861A5">
        <w:t>is not considered to represent a food safety hazard</w:t>
      </w:r>
      <w:r w:rsidR="00EF73D9" w:rsidRPr="00D861A5">
        <w:t>.</w:t>
      </w:r>
    </w:p>
    <w:p w14:paraId="281442A3" w14:textId="5B68E9D5" w:rsidR="00AF0509" w:rsidRPr="00D8467D" w:rsidRDefault="00AF0509" w:rsidP="00BD59CB">
      <w:pPr>
        <w:pStyle w:val="Heading1"/>
        <w:ind w:left="567" w:hanging="567"/>
        <w:rPr>
          <w:sz w:val="28"/>
        </w:rPr>
      </w:pPr>
      <w:bookmarkStart w:id="61" w:name="_Toc5629748"/>
      <w:r w:rsidRPr="00D8467D">
        <w:rPr>
          <w:sz w:val="28"/>
        </w:rPr>
        <w:t xml:space="preserve">5 </w:t>
      </w:r>
      <w:r w:rsidR="00BD59CB" w:rsidRPr="00D8467D">
        <w:rPr>
          <w:sz w:val="28"/>
        </w:rPr>
        <w:tab/>
      </w:r>
      <w:r w:rsidRPr="00D8467D">
        <w:rPr>
          <w:sz w:val="28"/>
        </w:rPr>
        <w:t>Conclusions</w:t>
      </w:r>
      <w:bookmarkEnd w:id="61"/>
    </w:p>
    <w:p w14:paraId="172EDB95" w14:textId="0856A952" w:rsidR="00BD1B7A" w:rsidRPr="00BD1B7A" w:rsidRDefault="00BD1B7A" w:rsidP="00BD1B7A">
      <w:pPr>
        <w:widowControl/>
      </w:pPr>
      <w:r w:rsidRPr="00BD1B7A">
        <w:t>The</w:t>
      </w:r>
      <w:r w:rsidR="003371FC">
        <w:t xml:space="preserve">re are </w:t>
      </w:r>
      <w:r w:rsidRPr="00BD1B7A">
        <w:t xml:space="preserve">are no public health and safety concerns associated with the use of glucoamylase from </w:t>
      </w:r>
      <w:r w:rsidRPr="003371FC">
        <w:rPr>
          <w:i/>
        </w:rPr>
        <w:t>A. niger</w:t>
      </w:r>
      <w:r w:rsidRPr="00BD1B7A">
        <w:t xml:space="preserve"> as a processing aid.</w:t>
      </w:r>
    </w:p>
    <w:p w14:paraId="5B0ADD1A" w14:textId="6DC7E8FD" w:rsidR="00CB386B" w:rsidRDefault="00CB386B" w:rsidP="000A77E3">
      <w:pPr>
        <w:widowControl/>
      </w:pPr>
    </w:p>
    <w:p w14:paraId="2C4D2243" w14:textId="5987ACC3" w:rsidR="00AF0509" w:rsidRPr="00451BFF" w:rsidRDefault="00BD1B7A" w:rsidP="00451BFF">
      <w:pPr>
        <w:widowControl/>
        <w:rPr>
          <w:b/>
          <w:lang w:eastAsia="en-AU" w:bidi="ar-SA"/>
        </w:rPr>
      </w:pPr>
      <w:r>
        <w:rPr>
          <w:lang w:eastAsia="en-AU" w:bidi="ar-SA"/>
        </w:rPr>
        <w:t>Based on the reviewed toxicological data, it is concluded that i</w:t>
      </w:r>
      <w:r w:rsidR="00CC71B8" w:rsidRPr="00CC71B8">
        <w:rPr>
          <w:lang w:eastAsia="en-AU" w:bidi="ar-SA"/>
        </w:rPr>
        <w:t>n the absence of any identifiable hazard an Acceptable Daily Intake (ADI) ‘not specified’ is appropriate. A dietary exposure assessment was therefore not required.</w:t>
      </w:r>
      <w:r w:rsidR="00CC71B8">
        <w:rPr>
          <w:lang w:eastAsia="en-AU" w:bidi="ar-SA"/>
        </w:rPr>
        <w:t xml:space="preserve"> </w:t>
      </w:r>
    </w:p>
    <w:p w14:paraId="26281CEA" w14:textId="2D27A142" w:rsidR="00AF0509" w:rsidRPr="00D8467D" w:rsidRDefault="00AF0509" w:rsidP="00BD59CB">
      <w:pPr>
        <w:pStyle w:val="Heading1"/>
        <w:ind w:left="567" w:hanging="567"/>
        <w:rPr>
          <w:sz w:val="28"/>
        </w:rPr>
      </w:pPr>
      <w:bookmarkStart w:id="62" w:name="_Toc5629749"/>
      <w:r w:rsidRPr="00D8467D">
        <w:rPr>
          <w:sz w:val="28"/>
        </w:rPr>
        <w:lastRenderedPageBreak/>
        <w:t xml:space="preserve">6 </w:t>
      </w:r>
      <w:r w:rsidR="00BD59CB" w:rsidRPr="00D8467D">
        <w:rPr>
          <w:sz w:val="28"/>
        </w:rPr>
        <w:tab/>
      </w:r>
      <w:r w:rsidRPr="00D8467D">
        <w:rPr>
          <w:sz w:val="28"/>
        </w:rPr>
        <w:t>References</w:t>
      </w:r>
      <w:bookmarkEnd w:id="60"/>
      <w:bookmarkEnd w:id="62"/>
    </w:p>
    <w:p w14:paraId="31384663" w14:textId="3BFE60F4" w:rsidR="00CB386B" w:rsidRDefault="00CB386B" w:rsidP="00CB386B">
      <w:r>
        <w:rPr>
          <w:color w:val="222222"/>
        </w:rPr>
        <w:t xml:space="preserve">Atchade E, Jean-Baptiste S, Houzé S, Chabut C, Massias L, Castier Y, Brugière O, Mal H, Montravers P (2017) Fatal invasive aspergillosis caused by </w:t>
      </w:r>
      <w:r w:rsidRPr="00054480">
        <w:rPr>
          <w:i/>
          <w:color w:val="222222"/>
        </w:rPr>
        <w:t>Aspergillus niger</w:t>
      </w:r>
      <w:r>
        <w:rPr>
          <w:color w:val="222222"/>
        </w:rPr>
        <w:t xml:space="preserve"> after bilateral lung transplantation.</w:t>
      </w:r>
      <w:r w:rsidRPr="00A42162">
        <w:rPr>
          <w:color w:val="222222"/>
        </w:rPr>
        <w:t xml:space="preserve"> </w:t>
      </w:r>
      <w:r w:rsidRPr="00A42162">
        <w:rPr>
          <w:iCs/>
          <w:color w:val="222222"/>
        </w:rPr>
        <w:t>Medical mycology case reports</w:t>
      </w:r>
      <w:r>
        <w:rPr>
          <w:color w:val="222222"/>
        </w:rPr>
        <w:t xml:space="preserve"> </w:t>
      </w:r>
      <w:r w:rsidRPr="00A75F84">
        <w:rPr>
          <w:iCs/>
          <w:color w:val="222222"/>
        </w:rPr>
        <w:t>17:</w:t>
      </w:r>
      <w:r>
        <w:rPr>
          <w:color w:val="222222"/>
        </w:rPr>
        <w:t>4-7</w:t>
      </w:r>
    </w:p>
    <w:p w14:paraId="20A34435" w14:textId="77777777" w:rsidR="00CB386B" w:rsidRDefault="00CB386B" w:rsidP="00642DBD">
      <w:pPr>
        <w:widowControl/>
      </w:pPr>
    </w:p>
    <w:p w14:paraId="6ADDE1FB" w14:textId="06BD6A3E" w:rsidR="00642DBD" w:rsidRDefault="00642DBD">
      <w:pPr>
        <w:widowControl/>
      </w:pPr>
      <w:r w:rsidRPr="00E202D2">
        <w:t>Delaney B, Astwood JD, Cunny H, Conn RE, Herouet-Guicheney C, MacIntosh S, Meyer LS, Privalle L, Gao Y, Mattsson J, Levine M, ILSI Food Biotechnology Committee Task</w:t>
      </w:r>
      <w:r w:rsidR="00CB386B">
        <w:t xml:space="preserve"> Force on Protein Safety (2008)</w:t>
      </w:r>
      <w:r w:rsidRPr="00E202D2">
        <w:t xml:space="preserve"> Evaluation of protein safety in the context of agricultural biotechnology. Food Chem</w:t>
      </w:r>
      <w:r>
        <w:t xml:space="preserve"> </w:t>
      </w:r>
      <w:r w:rsidRPr="00E202D2">
        <w:t>Toxicol 46: S71-S97</w:t>
      </w:r>
    </w:p>
    <w:p w14:paraId="4F51D16E" w14:textId="237260DA" w:rsidR="00CB386B" w:rsidRDefault="00CB386B">
      <w:pPr>
        <w:widowControl/>
      </w:pPr>
    </w:p>
    <w:p w14:paraId="745C4F33" w14:textId="4F9CE0D8" w:rsidR="00CB386B" w:rsidRDefault="00CB386B" w:rsidP="00CB386B">
      <w:r>
        <w:rPr>
          <w:color w:val="222222"/>
        </w:rPr>
        <w:t xml:space="preserve">Frisvad JC, Larsen TO, Thrane U, Meijer M, Varga J, Samson RA, Nielsen KF (2011) Fumonisin and ochratoxin production in industrial </w:t>
      </w:r>
      <w:r w:rsidRPr="00A75F84">
        <w:rPr>
          <w:i/>
          <w:color w:val="222222"/>
        </w:rPr>
        <w:t>Aspergillus niger</w:t>
      </w:r>
      <w:r>
        <w:rPr>
          <w:color w:val="222222"/>
        </w:rPr>
        <w:t xml:space="preserve"> strains. PLoS One 6(8):e23496</w:t>
      </w:r>
    </w:p>
    <w:p w14:paraId="14573EEE" w14:textId="77777777" w:rsidR="00CB386B" w:rsidRDefault="00CB386B" w:rsidP="00CB386B"/>
    <w:p w14:paraId="7215FD69" w14:textId="77777777" w:rsidR="00CB386B" w:rsidRDefault="00CB386B" w:rsidP="00CB386B">
      <w:r>
        <w:t xml:space="preserve">Gautam AK, Sahrma S, Avasthi S, Bhadauria R (2011) Diversity, pathogenicity and toxicology of </w:t>
      </w:r>
      <w:r w:rsidRPr="00A75F84">
        <w:rPr>
          <w:i/>
        </w:rPr>
        <w:t>A. niger</w:t>
      </w:r>
      <w:r>
        <w:t>: An important spoilage fungi. Research Journal of Microbiology 6(3):270-280</w:t>
      </w:r>
    </w:p>
    <w:p w14:paraId="75FA5AD7" w14:textId="77777777" w:rsidR="00CB386B" w:rsidRDefault="00CB386B">
      <w:pPr>
        <w:widowControl/>
        <w:rPr>
          <w:szCs w:val="22"/>
        </w:rPr>
      </w:pPr>
    </w:p>
    <w:p w14:paraId="35A0F0BB" w14:textId="124E8F58" w:rsidR="006C25FE" w:rsidRDefault="006C25FE">
      <w:pPr>
        <w:widowControl/>
        <w:rPr>
          <w:szCs w:val="22"/>
        </w:rPr>
      </w:pPr>
      <w:r w:rsidRPr="0071484C">
        <w:rPr>
          <w:szCs w:val="22"/>
        </w:rPr>
        <w:t xml:space="preserve">Kelly JM, Hynes MJ (1985) Transformation of </w:t>
      </w:r>
      <w:r w:rsidRPr="0071484C">
        <w:rPr>
          <w:i/>
          <w:szCs w:val="22"/>
        </w:rPr>
        <w:t>Aspergillus niger</w:t>
      </w:r>
      <w:r w:rsidRPr="0071484C">
        <w:rPr>
          <w:szCs w:val="22"/>
        </w:rPr>
        <w:t xml:space="preserve"> by the </w:t>
      </w:r>
      <w:r w:rsidRPr="0071484C">
        <w:rPr>
          <w:i/>
          <w:szCs w:val="22"/>
        </w:rPr>
        <w:t>amdS</w:t>
      </w:r>
      <w:r w:rsidRPr="0071484C">
        <w:rPr>
          <w:szCs w:val="22"/>
        </w:rPr>
        <w:t xml:space="preserve"> gene of </w:t>
      </w:r>
      <w:r w:rsidRPr="0071484C">
        <w:rPr>
          <w:i/>
          <w:szCs w:val="22"/>
        </w:rPr>
        <w:t>Aspergillus nidulans</w:t>
      </w:r>
      <w:r w:rsidRPr="0071484C">
        <w:rPr>
          <w:szCs w:val="22"/>
        </w:rPr>
        <w:t>. EMBO J 4:475-479</w:t>
      </w:r>
    </w:p>
    <w:p w14:paraId="220A0785" w14:textId="77777777" w:rsidR="006C25FE" w:rsidRDefault="006C25FE">
      <w:pPr>
        <w:widowControl/>
      </w:pPr>
    </w:p>
    <w:p w14:paraId="0D1BF72D" w14:textId="4738367F" w:rsidR="001D22D2" w:rsidRDefault="001D22D2">
      <w:pPr>
        <w:widowControl/>
      </w:pPr>
      <w:r>
        <w:t xml:space="preserve">Kumar P and Satyanarayana T (2009) </w:t>
      </w:r>
      <w:r w:rsidRPr="001D22D2">
        <w:t>Microbial glucoamylases: characteristics and applications</w:t>
      </w:r>
      <w:r>
        <w:t xml:space="preserve">. </w:t>
      </w:r>
      <w:r w:rsidRPr="001D22D2">
        <w:t>Crit Rev Biotechnol 29(3): 225–255</w:t>
      </w:r>
    </w:p>
    <w:p w14:paraId="67353824" w14:textId="77777777" w:rsidR="001D22D2" w:rsidRDefault="001D22D2">
      <w:pPr>
        <w:widowControl/>
      </w:pPr>
    </w:p>
    <w:p w14:paraId="1E2EC950" w14:textId="076C8B34" w:rsidR="001E6A7B" w:rsidRDefault="000A3FCD">
      <w:pPr>
        <w:widowControl/>
      </w:pPr>
      <w:r>
        <w:t xml:space="preserve">Nielsen BR, Lehmbeck J, Frandsen TP (2002) </w:t>
      </w:r>
      <w:r w:rsidRPr="000A3FCD">
        <w:t xml:space="preserve">Cloning, heterologous expression, and enzymatic characterization of a thermostable glucoamylase from </w:t>
      </w:r>
      <w:r w:rsidRPr="006C25FE">
        <w:rPr>
          <w:i/>
        </w:rPr>
        <w:t>Talaromyces emersonii</w:t>
      </w:r>
      <w:r w:rsidRPr="000A3FCD">
        <w:t>.</w:t>
      </w:r>
      <w:r w:rsidR="00EF7C98">
        <w:t xml:space="preserve"> </w:t>
      </w:r>
      <w:r w:rsidR="00EF7C98" w:rsidRPr="00EF7C98">
        <w:t>Protein Expr Purif</w:t>
      </w:r>
      <w:r w:rsidR="00EF7C98">
        <w:t xml:space="preserve"> 26(1):1-8</w:t>
      </w:r>
    </w:p>
    <w:p w14:paraId="6A250F59" w14:textId="439F2458" w:rsidR="00CB386B" w:rsidRDefault="00CB386B">
      <w:pPr>
        <w:widowControl/>
      </w:pPr>
    </w:p>
    <w:p w14:paraId="0DB970E0" w14:textId="72025A12" w:rsidR="00CB386B" w:rsidRDefault="00CB386B" w:rsidP="00CB386B">
      <w:r>
        <w:t>Pariza MW, Johnson EA (2001) Evaluating the safety of microbial enzyme preparations used in food processing: up</w:t>
      </w:r>
      <w:r w:rsidR="00054480">
        <w:t>d</w:t>
      </w:r>
      <w:r>
        <w:t xml:space="preserve">ate for a new century. </w:t>
      </w:r>
      <w:r>
        <w:rPr>
          <w:color w:val="222222"/>
        </w:rPr>
        <w:t>Regulatory Toxicology and Pharmacology</w:t>
      </w:r>
      <w:r>
        <w:t xml:space="preserve"> 33:173-186</w:t>
      </w:r>
    </w:p>
    <w:p w14:paraId="1E2BE8B7" w14:textId="77777777" w:rsidR="00CB386B" w:rsidRDefault="00CB386B" w:rsidP="00CB386B"/>
    <w:p w14:paraId="158B75D2" w14:textId="59D1451A" w:rsidR="00CB386B" w:rsidRPr="009D1545" w:rsidRDefault="00CB386B" w:rsidP="00CB386B">
      <w:pPr>
        <w:autoSpaceDE w:val="0"/>
        <w:autoSpaceDN w:val="0"/>
        <w:adjustRightInd w:val="0"/>
        <w:rPr>
          <w:rFonts w:cs="Arial"/>
          <w:i/>
        </w:rPr>
      </w:pPr>
      <w:r>
        <w:rPr>
          <w:rFonts w:cs="Arial"/>
        </w:rPr>
        <w:t xml:space="preserve">Perrone G, Stea G, Epifani F, Varga J, Frisvad JC, Samson RA (2011) </w:t>
      </w:r>
      <w:r w:rsidRPr="009D1545">
        <w:rPr>
          <w:rFonts w:cs="Arial"/>
          <w:i/>
        </w:rPr>
        <w:t>Aspergillus</w:t>
      </w:r>
    </w:p>
    <w:p w14:paraId="2233BBC1" w14:textId="0DC3B22B" w:rsidR="00CB386B" w:rsidRDefault="00CB386B" w:rsidP="00CB386B">
      <w:pPr>
        <w:autoSpaceDE w:val="0"/>
        <w:autoSpaceDN w:val="0"/>
        <w:adjustRightInd w:val="0"/>
        <w:rPr>
          <w:rFonts w:cs="Arial"/>
        </w:rPr>
      </w:pPr>
      <w:r w:rsidRPr="009D1545">
        <w:rPr>
          <w:rFonts w:cs="Arial"/>
          <w:i/>
        </w:rPr>
        <w:t>niger</w:t>
      </w:r>
      <w:r w:rsidRPr="009D1545">
        <w:rPr>
          <w:rFonts w:cs="Arial"/>
        </w:rPr>
        <w:t xml:space="preserve"> </w:t>
      </w:r>
      <w:r w:rsidRPr="009D1545">
        <w:rPr>
          <w:rFonts w:cs="Arial"/>
          <w:iCs/>
        </w:rPr>
        <w:t xml:space="preserve">contains the cryptic phylogenetic species </w:t>
      </w:r>
      <w:r w:rsidRPr="009D1545">
        <w:rPr>
          <w:rFonts w:cs="Arial"/>
          <w:i/>
        </w:rPr>
        <w:t>A. awamori</w:t>
      </w:r>
      <w:r>
        <w:rPr>
          <w:rFonts w:cs="Arial"/>
        </w:rPr>
        <w:t>. Fungal biology, 115(11):1138-</w:t>
      </w:r>
    </w:p>
    <w:p w14:paraId="35B69303" w14:textId="0884DADE" w:rsidR="00CB386B" w:rsidRDefault="00CB386B" w:rsidP="00CB386B">
      <w:pPr>
        <w:rPr>
          <w:rFonts w:cs="Arial"/>
        </w:rPr>
      </w:pPr>
      <w:r>
        <w:rPr>
          <w:rFonts w:cs="Arial"/>
        </w:rPr>
        <w:t>1150</w:t>
      </w:r>
    </w:p>
    <w:p w14:paraId="3832A0E6" w14:textId="77777777" w:rsidR="00CB386B" w:rsidRDefault="00CB386B" w:rsidP="00CB386B">
      <w:pPr>
        <w:rPr>
          <w:rFonts w:cs="Arial"/>
        </w:rPr>
      </w:pPr>
    </w:p>
    <w:p w14:paraId="095363FC" w14:textId="496B7EDF" w:rsidR="00CB386B" w:rsidRDefault="00CB386B" w:rsidP="00CB386B">
      <w:pPr>
        <w:rPr>
          <w:rFonts w:cs="Arial"/>
        </w:rPr>
      </w:pPr>
      <w:r>
        <w:rPr>
          <w:color w:val="222222"/>
        </w:rPr>
        <w:t xml:space="preserve">Person AK, Chudgar SM, Norton BL, Tong BC, Stout, JE (2010) </w:t>
      </w:r>
      <w:r w:rsidRPr="00054480">
        <w:rPr>
          <w:i/>
          <w:color w:val="222222"/>
        </w:rPr>
        <w:t>Aspergillus niger</w:t>
      </w:r>
      <w:r>
        <w:rPr>
          <w:color w:val="222222"/>
        </w:rPr>
        <w:t xml:space="preserve">: an unusual cause of invasive pulmonary aspergillosis. </w:t>
      </w:r>
      <w:r w:rsidRPr="00A75F84">
        <w:rPr>
          <w:iCs/>
          <w:color w:val="222222"/>
        </w:rPr>
        <w:t>Journal of Medical Microbiology</w:t>
      </w:r>
      <w:r>
        <w:rPr>
          <w:color w:val="222222"/>
        </w:rPr>
        <w:t xml:space="preserve"> </w:t>
      </w:r>
      <w:r w:rsidRPr="00A75F84">
        <w:rPr>
          <w:iCs/>
          <w:color w:val="222222"/>
        </w:rPr>
        <w:t>59</w:t>
      </w:r>
      <w:r w:rsidRPr="00A75F84">
        <w:rPr>
          <w:color w:val="222222"/>
        </w:rPr>
        <w:t>(</w:t>
      </w:r>
      <w:r>
        <w:rPr>
          <w:color w:val="222222"/>
        </w:rPr>
        <w:t>7):834-838</w:t>
      </w:r>
    </w:p>
    <w:p w14:paraId="55C170B1" w14:textId="116CF2FD" w:rsidR="006C25FE" w:rsidRDefault="006C25FE">
      <w:pPr>
        <w:widowControl/>
      </w:pPr>
    </w:p>
    <w:p w14:paraId="1BB2927A" w14:textId="2E264382" w:rsidR="006C25FE" w:rsidRDefault="006C25FE">
      <w:pPr>
        <w:widowControl/>
      </w:pPr>
      <w:r>
        <w:t xml:space="preserve">Rose M, Grisafi P, Botstein D (1984) </w:t>
      </w:r>
      <w:r w:rsidRPr="006C25FE">
        <w:t xml:space="preserve">Structure and function of the yeast </w:t>
      </w:r>
      <w:r w:rsidRPr="006C25FE">
        <w:rPr>
          <w:i/>
        </w:rPr>
        <w:t>URA3</w:t>
      </w:r>
      <w:r w:rsidRPr="006C25FE">
        <w:t xml:space="preserve"> gene: expression in </w:t>
      </w:r>
      <w:r w:rsidRPr="006C25FE">
        <w:rPr>
          <w:i/>
        </w:rPr>
        <w:t>Escherichia coli</w:t>
      </w:r>
      <w:r w:rsidRPr="006C25FE">
        <w:t>.</w:t>
      </w:r>
      <w:r>
        <w:t xml:space="preserve"> Gene 29(1-2):113-124</w:t>
      </w:r>
    </w:p>
    <w:p w14:paraId="0CF8AD7E" w14:textId="02B90090" w:rsidR="006C25FE" w:rsidRDefault="006C25FE">
      <w:pPr>
        <w:widowControl/>
      </w:pPr>
    </w:p>
    <w:p w14:paraId="0E575906" w14:textId="0438AC60" w:rsidR="006C25FE" w:rsidRDefault="006C25FE">
      <w:pPr>
        <w:widowControl/>
      </w:pPr>
      <w:r>
        <w:t xml:space="preserve">Ruiz-Diez B (2002) </w:t>
      </w:r>
      <w:r w:rsidRPr="006C25FE">
        <w:t xml:space="preserve">Strategies for the transformation of </w:t>
      </w:r>
      <w:r>
        <w:t>fi</w:t>
      </w:r>
      <w:r w:rsidRPr="006C25FE">
        <w:t>lamentous fungi</w:t>
      </w:r>
      <w:r>
        <w:t xml:space="preserve">. </w:t>
      </w:r>
      <w:r w:rsidRPr="006C25FE">
        <w:t>J Appl Microbiol</w:t>
      </w:r>
      <w:r>
        <w:t xml:space="preserve"> 92:189-195</w:t>
      </w:r>
    </w:p>
    <w:p w14:paraId="0D3988C4" w14:textId="67EAA771" w:rsidR="00CB386B" w:rsidRDefault="00CB386B">
      <w:pPr>
        <w:widowControl/>
      </w:pPr>
    </w:p>
    <w:p w14:paraId="5EA9AEDA" w14:textId="0CAB228F" w:rsidR="00CB386B" w:rsidRDefault="00CB386B" w:rsidP="00CB386B">
      <w:pPr>
        <w:rPr>
          <w:rFonts w:cs="Arial"/>
        </w:rPr>
      </w:pPr>
      <w:r>
        <w:rPr>
          <w:rFonts w:cs="Arial"/>
        </w:rPr>
        <w:t xml:space="preserve">Schuster E, Dunn-Coleman N, Frisvad JC, van Dijck PWM (2002) On the safety of </w:t>
      </w:r>
      <w:r w:rsidRPr="00017CA5">
        <w:rPr>
          <w:rFonts w:cs="Arial"/>
          <w:i/>
        </w:rPr>
        <w:t>Aspergillus niger</w:t>
      </w:r>
      <w:r w:rsidR="00054480">
        <w:rPr>
          <w:rFonts w:cs="Arial"/>
          <w:i/>
        </w:rPr>
        <w:t xml:space="preserve"> </w:t>
      </w:r>
      <w:r>
        <w:rPr>
          <w:rFonts w:cs="Arial"/>
        </w:rPr>
        <w:t xml:space="preserve">- a review. </w:t>
      </w:r>
      <w:r w:rsidRPr="00830BF5">
        <w:rPr>
          <w:rFonts w:cs="Arial"/>
        </w:rPr>
        <w:t>Applied Microbiology and Biotechnology</w:t>
      </w:r>
      <w:r>
        <w:rPr>
          <w:rFonts w:cs="Arial"/>
        </w:rPr>
        <w:t xml:space="preserve"> 59:426-435</w:t>
      </w:r>
    </w:p>
    <w:p w14:paraId="2EA5B80A" w14:textId="77777777" w:rsidR="00CB386B" w:rsidRDefault="00CB386B" w:rsidP="00CB386B">
      <w:pPr>
        <w:rPr>
          <w:rFonts w:cs="Arial"/>
        </w:rPr>
      </w:pPr>
    </w:p>
    <w:p w14:paraId="26921F1E" w14:textId="3F8E0A95" w:rsidR="00CB386B" w:rsidRDefault="00CB386B" w:rsidP="00CB386B">
      <w:pPr>
        <w:rPr>
          <w:color w:val="222222"/>
        </w:rPr>
      </w:pPr>
      <w:r>
        <w:rPr>
          <w:color w:val="222222"/>
        </w:rPr>
        <w:t xml:space="preserve">Show PL, Oladele KO, Siew QY, Aziz Zakry FA, Lan JC, Ling TC (2015) Overview of citric acid production from </w:t>
      </w:r>
      <w:r w:rsidRPr="00017CA5">
        <w:rPr>
          <w:i/>
          <w:color w:val="222222"/>
        </w:rPr>
        <w:t>Aspergillus niger</w:t>
      </w:r>
      <w:r>
        <w:rPr>
          <w:color w:val="222222"/>
        </w:rPr>
        <w:t>. Frontie</w:t>
      </w:r>
      <w:r w:rsidR="008D5293">
        <w:rPr>
          <w:color w:val="222222"/>
        </w:rPr>
        <w:t>rs in Life Science 8(3):271-283</w:t>
      </w:r>
    </w:p>
    <w:p w14:paraId="4B3F6792" w14:textId="4686C999" w:rsidR="008D5293" w:rsidRDefault="008D5293" w:rsidP="00CB386B">
      <w:pPr>
        <w:rPr>
          <w:rFonts w:cs="Arial"/>
        </w:rPr>
      </w:pPr>
    </w:p>
    <w:p w14:paraId="14CF5D56" w14:textId="45C1D9CF" w:rsidR="00EF7C98" w:rsidRDefault="008D5293" w:rsidP="00F155B9">
      <w:r>
        <w:rPr>
          <w:rFonts w:cs="Arial"/>
        </w:rPr>
        <w:t xml:space="preserve">Toyotome T, Satoh M, Yahiro M, watanabe A, Nomura F, Kamei K (2014) </w:t>
      </w:r>
      <w:r w:rsidRPr="008D5293">
        <w:rPr>
          <w:rFonts w:cs="Arial"/>
        </w:rPr>
        <w:t>Glucoamylase is a major allergen of Schizophyllum commune</w:t>
      </w:r>
      <w:r>
        <w:rPr>
          <w:rFonts w:cs="Arial"/>
        </w:rPr>
        <w:t>. Clin Exp Allergy 44:450-457</w:t>
      </w:r>
    </w:p>
    <w:sectPr w:rsidR="00EF7C98" w:rsidSect="007E575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B9EBC" w14:textId="77777777" w:rsidR="00300C2A" w:rsidRDefault="00300C2A">
      <w:r>
        <w:separator/>
      </w:r>
    </w:p>
  </w:endnote>
  <w:endnote w:type="continuationSeparator" w:id="0">
    <w:p w14:paraId="15EBF991" w14:textId="77777777" w:rsidR="00300C2A" w:rsidRDefault="00300C2A">
      <w:r>
        <w:continuationSeparator/>
      </w:r>
    </w:p>
  </w:endnote>
  <w:endnote w:type="continuationNotice" w:id="1">
    <w:p w14:paraId="45B6AFD7" w14:textId="77777777" w:rsidR="00300C2A" w:rsidRDefault="00300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050E" w14:textId="77777777" w:rsidR="003B0180" w:rsidRDefault="003B018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DACCD8" w14:textId="77777777" w:rsidR="003B0180" w:rsidRDefault="003B0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47F5C" w14:textId="6A965F3C" w:rsidR="003B0180" w:rsidRDefault="007E575F">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D7088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7088C">
      <w:rPr>
        <w:b/>
        <w:bCs/>
        <w:noProof/>
      </w:rPr>
      <w:t>16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3950A" w14:textId="77777777" w:rsidR="00300C2A" w:rsidRDefault="00300C2A">
      <w:r>
        <w:separator/>
      </w:r>
    </w:p>
  </w:footnote>
  <w:footnote w:type="continuationSeparator" w:id="0">
    <w:p w14:paraId="3B88E961" w14:textId="77777777" w:rsidR="00300C2A" w:rsidRDefault="00300C2A">
      <w:r>
        <w:continuationSeparator/>
      </w:r>
    </w:p>
  </w:footnote>
  <w:footnote w:type="continuationNotice" w:id="1">
    <w:p w14:paraId="2ED11216" w14:textId="77777777" w:rsidR="00300C2A" w:rsidRDefault="00300C2A"/>
  </w:footnote>
  <w:footnote w:id="2">
    <w:p w14:paraId="6D6725FC" w14:textId="55D9B8AB" w:rsidR="003B0180" w:rsidRPr="00082EFF" w:rsidRDefault="003B0180" w:rsidP="000C4E5F">
      <w:pPr>
        <w:pStyle w:val="FootnoteText"/>
        <w:rPr>
          <w:lang w:val="en-AU"/>
        </w:rPr>
      </w:pPr>
      <w:r>
        <w:rPr>
          <w:rStyle w:val="FootnoteReference"/>
        </w:rPr>
        <w:footnoteRef/>
      </w:r>
      <w:r>
        <w:t xml:space="preserve"> Amyloglucosidase unit (AGU), where enzyme activity is determined and analysed by an in-house method detailed in the application.</w:t>
      </w:r>
    </w:p>
  </w:footnote>
  <w:footnote w:id="3">
    <w:p w14:paraId="29291CEC" w14:textId="77777777" w:rsidR="003B0180" w:rsidRPr="00B714B5" w:rsidRDefault="003B0180" w:rsidP="000C4E5F">
      <w:pPr>
        <w:pStyle w:val="FootnoteText"/>
        <w:rPr>
          <w:lang w:val="en-AU"/>
        </w:rPr>
      </w:pPr>
      <w:r>
        <w:rPr>
          <w:rStyle w:val="FootnoteReference"/>
        </w:rPr>
        <w:footnoteRef/>
      </w:r>
      <w:r>
        <w:t xml:space="preserve"> </w:t>
      </w:r>
      <w:r w:rsidRPr="0084108A">
        <w:t>International Union of Biochemistry and Molecular Biology</w:t>
      </w:r>
    </w:p>
  </w:footnote>
  <w:footnote w:id="4">
    <w:p w14:paraId="294764A0" w14:textId="77777777" w:rsidR="003B0180" w:rsidRPr="006D0450" w:rsidRDefault="003B0180" w:rsidP="000C4E5F">
      <w:pPr>
        <w:pStyle w:val="FootnoteText"/>
        <w:rPr>
          <w:lang w:val="en-AU"/>
        </w:rPr>
      </w:pPr>
      <w:r>
        <w:rPr>
          <w:rStyle w:val="FootnoteReference"/>
        </w:rPr>
        <w:footnoteRef/>
      </w:r>
      <w:r>
        <w:t xml:space="preserve"> </w:t>
      </w:r>
      <w:r>
        <w:rPr>
          <w:lang w:val="en-AU"/>
        </w:rPr>
        <w:t xml:space="preserve">Chemical Abstracts Service </w:t>
      </w:r>
    </w:p>
  </w:footnote>
  <w:footnote w:id="5">
    <w:p w14:paraId="265A433D" w14:textId="4CD97A59" w:rsidR="003B0180" w:rsidRPr="00D571E9" w:rsidRDefault="003B0180">
      <w:pPr>
        <w:pStyle w:val="FootnoteText"/>
        <w:rPr>
          <w:lang w:val="en-AU"/>
        </w:rPr>
      </w:pPr>
      <w:r>
        <w:rPr>
          <w:rStyle w:val="FootnoteReference"/>
        </w:rPr>
        <w:footnoteRef/>
      </w:r>
      <w:r>
        <w:t xml:space="preserve"> </w:t>
      </w:r>
      <w:hyperlink r:id="rId1" w:anchor="_Toc446948380" w:history="1">
        <w:r w:rsidRPr="009638C6">
          <w:rPr>
            <w:rStyle w:val="Hyperlink"/>
          </w:rPr>
          <w:t>https://osp.od.nih.gov/wp-content/uploads/NIH_Guidelines.html#_Toc446948380</w:t>
        </w:r>
      </w:hyperlink>
      <w:r>
        <w:t xml:space="preserve"> </w:t>
      </w:r>
    </w:p>
  </w:footnote>
  <w:footnote w:id="6">
    <w:p w14:paraId="4818EC2D" w14:textId="6CDF186A" w:rsidR="003B0180" w:rsidRPr="0047616E" w:rsidRDefault="003B0180">
      <w:pPr>
        <w:pStyle w:val="FootnoteText"/>
        <w:rPr>
          <w:lang w:val="en-AU"/>
        </w:rPr>
      </w:pPr>
      <w:r>
        <w:rPr>
          <w:rStyle w:val="FootnoteReference"/>
        </w:rPr>
        <w:footnoteRef/>
      </w:r>
      <w:r>
        <w:t xml:space="preserve"> </w:t>
      </w:r>
      <w:hyperlink r:id="rId2" w:history="1">
        <w:r w:rsidRPr="00B435E9">
          <w:rPr>
            <w:rStyle w:val="Hyperlink"/>
          </w:rPr>
          <w:t>https://www.uniprot.org/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7D49" w14:textId="77777777" w:rsidR="003B0180" w:rsidRDefault="003B0180">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2EB6D93"/>
    <w:multiLevelType w:val="hybridMultilevel"/>
    <w:tmpl w:val="D8AA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05EC6"/>
    <w:multiLevelType w:val="hybridMultilevel"/>
    <w:tmpl w:val="495A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A1B25"/>
    <w:multiLevelType w:val="hybridMultilevel"/>
    <w:tmpl w:val="28CE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E07F80"/>
    <w:multiLevelType w:val="hybridMultilevel"/>
    <w:tmpl w:val="564E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92113"/>
    <w:multiLevelType w:val="multilevel"/>
    <w:tmpl w:val="EADA3F2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6D0C467F"/>
    <w:multiLevelType w:val="hybridMultilevel"/>
    <w:tmpl w:val="66C65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FE2B90"/>
    <w:multiLevelType w:val="hybridMultilevel"/>
    <w:tmpl w:val="D43EEE4A"/>
    <w:lvl w:ilvl="0" w:tplc="2CC02ECC">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0"/>
  </w:num>
  <w:num w:numId="5">
    <w:abstractNumId w:val="11"/>
  </w:num>
  <w:num w:numId="6">
    <w:abstractNumId w:val="8"/>
  </w:num>
  <w:num w:numId="7">
    <w:abstractNumId w:val="2"/>
  </w:num>
  <w:num w:numId="8">
    <w:abstractNumId w:val="6"/>
  </w:num>
  <w:num w:numId="9">
    <w:abstractNumId w:val="12"/>
  </w:num>
  <w:num w:numId="10">
    <w:abstractNumId w:val="7"/>
  </w:num>
  <w:num w:numId="11">
    <w:abstractNumId w:val="3"/>
  </w:num>
  <w:num w:numId="12">
    <w:abstractNumId w:val="10"/>
  </w:num>
  <w:num w:numId="13">
    <w:abstractNumId w:val="7"/>
  </w:num>
  <w:num w:numId="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611A"/>
    <w:rsid w:val="00011015"/>
    <w:rsid w:val="00023867"/>
    <w:rsid w:val="00034296"/>
    <w:rsid w:val="00035FF3"/>
    <w:rsid w:val="00040779"/>
    <w:rsid w:val="000448CC"/>
    <w:rsid w:val="00050A2F"/>
    <w:rsid w:val="00051021"/>
    <w:rsid w:val="00051ED9"/>
    <w:rsid w:val="00054480"/>
    <w:rsid w:val="000544D6"/>
    <w:rsid w:val="00054E1D"/>
    <w:rsid w:val="00057181"/>
    <w:rsid w:val="00062989"/>
    <w:rsid w:val="0006473A"/>
    <w:rsid w:val="00064B2D"/>
    <w:rsid w:val="00065E98"/>
    <w:rsid w:val="00065F1F"/>
    <w:rsid w:val="000661D1"/>
    <w:rsid w:val="00067084"/>
    <w:rsid w:val="00075E88"/>
    <w:rsid w:val="00076D33"/>
    <w:rsid w:val="00087EFA"/>
    <w:rsid w:val="00092CDA"/>
    <w:rsid w:val="00093855"/>
    <w:rsid w:val="00093E7E"/>
    <w:rsid w:val="00095A54"/>
    <w:rsid w:val="000A14E9"/>
    <w:rsid w:val="000A27E9"/>
    <w:rsid w:val="000A3D8B"/>
    <w:rsid w:val="000A3FCD"/>
    <w:rsid w:val="000A5DF8"/>
    <w:rsid w:val="000A62C3"/>
    <w:rsid w:val="000A77E3"/>
    <w:rsid w:val="000B5751"/>
    <w:rsid w:val="000B594B"/>
    <w:rsid w:val="000B6AF2"/>
    <w:rsid w:val="000C3587"/>
    <w:rsid w:val="000C4E5F"/>
    <w:rsid w:val="000D21FF"/>
    <w:rsid w:val="000D6FD4"/>
    <w:rsid w:val="000E0AE4"/>
    <w:rsid w:val="000E3DBC"/>
    <w:rsid w:val="000E4EBA"/>
    <w:rsid w:val="000F3894"/>
    <w:rsid w:val="000F660B"/>
    <w:rsid w:val="00102AFE"/>
    <w:rsid w:val="00107EB0"/>
    <w:rsid w:val="00112098"/>
    <w:rsid w:val="0011283F"/>
    <w:rsid w:val="00113C05"/>
    <w:rsid w:val="00113CE3"/>
    <w:rsid w:val="00117522"/>
    <w:rsid w:val="00125694"/>
    <w:rsid w:val="00135005"/>
    <w:rsid w:val="001516A3"/>
    <w:rsid w:val="001542D8"/>
    <w:rsid w:val="00167F19"/>
    <w:rsid w:val="00180C41"/>
    <w:rsid w:val="00182C4C"/>
    <w:rsid w:val="00186CE4"/>
    <w:rsid w:val="00187237"/>
    <w:rsid w:val="001927C1"/>
    <w:rsid w:val="0019741C"/>
    <w:rsid w:val="00197D8D"/>
    <w:rsid w:val="001A1A75"/>
    <w:rsid w:val="001A592B"/>
    <w:rsid w:val="001A7E9A"/>
    <w:rsid w:val="001B70F7"/>
    <w:rsid w:val="001C27A3"/>
    <w:rsid w:val="001C3CD3"/>
    <w:rsid w:val="001C5295"/>
    <w:rsid w:val="001D22D2"/>
    <w:rsid w:val="001E09FA"/>
    <w:rsid w:val="001E4D21"/>
    <w:rsid w:val="001E604D"/>
    <w:rsid w:val="001E6A7B"/>
    <w:rsid w:val="001E72B8"/>
    <w:rsid w:val="001F2503"/>
    <w:rsid w:val="001F3D7E"/>
    <w:rsid w:val="001F74B6"/>
    <w:rsid w:val="00203540"/>
    <w:rsid w:val="00211BE1"/>
    <w:rsid w:val="0021612B"/>
    <w:rsid w:val="0022083A"/>
    <w:rsid w:val="00221D07"/>
    <w:rsid w:val="00227E4A"/>
    <w:rsid w:val="0024582E"/>
    <w:rsid w:val="00245C56"/>
    <w:rsid w:val="00250082"/>
    <w:rsid w:val="002519C8"/>
    <w:rsid w:val="002547EF"/>
    <w:rsid w:val="00256D65"/>
    <w:rsid w:val="00261BCA"/>
    <w:rsid w:val="00265D02"/>
    <w:rsid w:val="00271F00"/>
    <w:rsid w:val="00273A80"/>
    <w:rsid w:val="002811F4"/>
    <w:rsid w:val="00283559"/>
    <w:rsid w:val="002836C0"/>
    <w:rsid w:val="00285948"/>
    <w:rsid w:val="00285CF5"/>
    <w:rsid w:val="00287CCB"/>
    <w:rsid w:val="0029204E"/>
    <w:rsid w:val="002942C5"/>
    <w:rsid w:val="0029631C"/>
    <w:rsid w:val="00296841"/>
    <w:rsid w:val="002A0194"/>
    <w:rsid w:val="002A3314"/>
    <w:rsid w:val="002A5F8B"/>
    <w:rsid w:val="002A77F4"/>
    <w:rsid w:val="002A7F6C"/>
    <w:rsid w:val="002B5037"/>
    <w:rsid w:val="002B5881"/>
    <w:rsid w:val="002B59CF"/>
    <w:rsid w:val="002C227E"/>
    <w:rsid w:val="002C3A98"/>
    <w:rsid w:val="002C425D"/>
    <w:rsid w:val="002C78AE"/>
    <w:rsid w:val="002D0994"/>
    <w:rsid w:val="002D6809"/>
    <w:rsid w:val="002E6AC7"/>
    <w:rsid w:val="002E6E8D"/>
    <w:rsid w:val="002E740B"/>
    <w:rsid w:val="002F27B6"/>
    <w:rsid w:val="002F6488"/>
    <w:rsid w:val="00300C2A"/>
    <w:rsid w:val="00302F66"/>
    <w:rsid w:val="0031203C"/>
    <w:rsid w:val="00320839"/>
    <w:rsid w:val="003213F9"/>
    <w:rsid w:val="003235C3"/>
    <w:rsid w:val="00323DBF"/>
    <w:rsid w:val="00326D85"/>
    <w:rsid w:val="003304EA"/>
    <w:rsid w:val="003309A8"/>
    <w:rsid w:val="003326FD"/>
    <w:rsid w:val="00332B12"/>
    <w:rsid w:val="003370AE"/>
    <w:rsid w:val="003371FC"/>
    <w:rsid w:val="00340EB7"/>
    <w:rsid w:val="00341494"/>
    <w:rsid w:val="00345FF5"/>
    <w:rsid w:val="0035149D"/>
    <w:rsid w:val="00351B07"/>
    <w:rsid w:val="00352CF2"/>
    <w:rsid w:val="00364841"/>
    <w:rsid w:val="0037063D"/>
    <w:rsid w:val="00371B29"/>
    <w:rsid w:val="00371FFA"/>
    <w:rsid w:val="0037210D"/>
    <w:rsid w:val="00375EFC"/>
    <w:rsid w:val="0037656B"/>
    <w:rsid w:val="00385E10"/>
    <w:rsid w:val="00385EFD"/>
    <w:rsid w:val="00391769"/>
    <w:rsid w:val="003953E1"/>
    <w:rsid w:val="003956B3"/>
    <w:rsid w:val="003A2BB7"/>
    <w:rsid w:val="003A68BE"/>
    <w:rsid w:val="003B0180"/>
    <w:rsid w:val="003B0861"/>
    <w:rsid w:val="003B1805"/>
    <w:rsid w:val="003B1F0D"/>
    <w:rsid w:val="003B2C60"/>
    <w:rsid w:val="003B3C9D"/>
    <w:rsid w:val="003B78E0"/>
    <w:rsid w:val="003C1F1D"/>
    <w:rsid w:val="003C4969"/>
    <w:rsid w:val="003E264A"/>
    <w:rsid w:val="003E41D5"/>
    <w:rsid w:val="003E4482"/>
    <w:rsid w:val="003E44B5"/>
    <w:rsid w:val="003E46BA"/>
    <w:rsid w:val="003E57B5"/>
    <w:rsid w:val="003E7D22"/>
    <w:rsid w:val="003F74C1"/>
    <w:rsid w:val="00401B6A"/>
    <w:rsid w:val="00405B1A"/>
    <w:rsid w:val="00410C76"/>
    <w:rsid w:val="00411907"/>
    <w:rsid w:val="00413CA8"/>
    <w:rsid w:val="00413F41"/>
    <w:rsid w:val="00417EE3"/>
    <w:rsid w:val="004207EB"/>
    <w:rsid w:val="004269C1"/>
    <w:rsid w:val="004325B0"/>
    <w:rsid w:val="00435466"/>
    <w:rsid w:val="00437276"/>
    <w:rsid w:val="004443A1"/>
    <w:rsid w:val="00451BFF"/>
    <w:rsid w:val="004524D9"/>
    <w:rsid w:val="00456B54"/>
    <w:rsid w:val="00464643"/>
    <w:rsid w:val="00471BAE"/>
    <w:rsid w:val="0047616E"/>
    <w:rsid w:val="00486793"/>
    <w:rsid w:val="004A2037"/>
    <w:rsid w:val="004A44F1"/>
    <w:rsid w:val="004B63D9"/>
    <w:rsid w:val="004C06B5"/>
    <w:rsid w:val="004C2CE7"/>
    <w:rsid w:val="004C4CCD"/>
    <w:rsid w:val="004C644D"/>
    <w:rsid w:val="004D6C41"/>
    <w:rsid w:val="004E2060"/>
    <w:rsid w:val="004E21DE"/>
    <w:rsid w:val="004E4151"/>
    <w:rsid w:val="004E730E"/>
    <w:rsid w:val="004F2192"/>
    <w:rsid w:val="004F45FE"/>
    <w:rsid w:val="004F4F98"/>
    <w:rsid w:val="004F508D"/>
    <w:rsid w:val="004F69F6"/>
    <w:rsid w:val="004F79AC"/>
    <w:rsid w:val="005017CF"/>
    <w:rsid w:val="00505AC5"/>
    <w:rsid w:val="005071E5"/>
    <w:rsid w:val="00514AAF"/>
    <w:rsid w:val="005207D8"/>
    <w:rsid w:val="005251A4"/>
    <w:rsid w:val="005326D5"/>
    <w:rsid w:val="005345AA"/>
    <w:rsid w:val="0053464E"/>
    <w:rsid w:val="00537C7B"/>
    <w:rsid w:val="0054272D"/>
    <w:rsid w:val="0054759D"/>
    <w:rsid w:val="00547C95"/>
    <w:rsid w:val="00550E3D"/>
    <w:rsid w:val="00551114"/>
    <w:rsid w:val="0055568B"/>
    <w:rsid w:val="005561C3"/>
    <w:rsid w:val="00556661"/>
    <w:rsid w:val="00562917"/>
    <w:rsid w:val="00562FEA"/>
    <w:rsid w:val="0056409D"/>
    <w:rsid w:val="0057615C"/>
    <w:rsid w:val="00577FE1"/>
    <w:rsid w:val="00585B00"/>
    <w:rsid w:val="00586228"/>
    <w:rsid w:val="005A1D97"/>
    <w:rsid w:val="005A58F3"/>
    <w:rsid w:val="005B2BB4"/>
    <w:rsid w:val="005B6AF4"/>
    <w:rsid w:val="005B7A73"/>
    <w:rsid w:val="005C04CB"/>
    <w:rsid w:val="005C33F0"/>
    <w:rsid w:val="005C552F"/>
    <w:rsid w:val="005D16AD"/>
    <w:rsid w:val="005D63C8"/>
    <w:rsid w:val="005D72E1"/>
    <w:rsid w:val="005E150C"/>
    <w:rsid w:val="005E2C43"/>
    <w:rsid w:val="005E3364"/>
    <w:rsid w:val="005E6E16"/>
    <w:rsid w:val="005F0223"/>
    <w:rsid w:val="005F022B"/>
    <w:rsid w:val="005F034D"/>
    <w:rsid w:val="005F0BF4"/>
    <w:rsid w:val="005F0D5E"/>
    <w:rsid w:val="005F400E"/>
    <w:rsid w:val="005F5C7D"/>
    <w:rsid w:val="005F7342"/>
    <w:rsid w:val="00600A07"/>
    <w:rsid w:val="00603A08"/>
    <w:rsid w:val="00610A3C"/>
    <w:rsid w:val="00615612"/>
    <w:rsid w:val="006176FC"/>
    <w:rsid w:val="00627EA1"/>
    <w:rsid w:val="00627F48"/>
    <w:rsid w:val="00630C23"/>
    <w:rsid w:val="006359E9"/>
    <w:rsid w:val="00640C6C"/>
    <w:rsid w:val="00640C77"/>
    <w:rsid w:val="00642DBD"/>
    <w:rsid w:val="00644504"/>
    <w:rsid w:val="006460AB"/>
    <w:rsid w:val="006510A9"/>
    <w:rsid w:val="00652372"/>
    <w:rsid w:val="0065740D"/>
    <w:rsid w:val="00661B10"/>
    <w:rsid w:val="00662E7B"/>
    <w:rsid w:val="006638A5"/>
    <w:rsid w:val="00663FCF"/>
    <w:rsid w:val="006652A2"/>
    <w:rsid w:val="00676F26"/>
    <w:rsid w:val="006814C9"/>
    <w:rsid w:val="006818F2"/>
    <w:rsid w:val="00690206"/>
    <w:rsid w:val="00691270"/>
    <w:rsid w:val="0069360D"/>
    <w:rsid w:val="006937FF"/>
    <w:rsid w:val="00693870"/>
    <w:rsid w:val="00694FC9"/>
    <w:rsid w:val="006A132A"/>
    <w:rsid w:val="006A2E22"/>
    <w:rsid w:val="006A48A7"/>
    <w:rsid w:val="006B4BA1"/>
    <w:rsid w:val="006B5EBE"/>
    <w:rsid w:val="006C2320"/>
    <w:rsid w:val="006C25FE"/>
    <w:rsid w:val="006C5CF5"/>
    <w:rsid w:val="006D011E"/>
    <w:rsid w:val="006F4A82"/>
    <w:rsid w:val="0070373B"/>
    <w:rsid w:val="00704D7B"/>
    <w:rsid w:val="007100EB"/>
    <w:rsid w:val="0071305C"/>
    <w:rsid w:val="007142EC"/>
    <w:rsid w:val="007159D8"/>
    <w:rsid w:val="00720214"/>
    <w:rsid w:val="0072301D"/>
    <w:rsid w:val="00724FA4"/>
    <w:rsid w:val="007259A1"/>
    <w:rsid w:val="00730024"/>
    <w:rsid w:val="00730800"/>
    <w:rsid w:val="00734359"/>
    <w:rsid w:val="0073651F"/>
    <w:rsid w:val="0074388F"/>
    <w:rsid w:val="007514AA"/>
    <w:rsid w:val="00752EB4"/>
    <w:rsid w:val="00756F47"/>
    <w:rsid w:val="007602AA"/>
    <w:rsid w:val="00760F3A"/>
    <w:rsid w:val="00761903"/>
    <w:rsid w:val="00761CF0"/>
    <w:rsid w:val="00764218"/>
    <w:rsid w:val="007652EF"/>
    <w:rsid w:val="00772BDC"/>
    <w:rsid w:val="00774F02"/>
    <w:rsid w:val="00777538"/>
    <w:rsid w:val="00780792"/>
    <w:rsid w:val="007846A2"/>
    <w:rsid w:val="00796562"/>
    <w:rsid w:val="007A04CF"/>
    <w:rsid w:val="007A39E8"/>
    <w:rsid w:val="007A3B39"/>
    <w:rsid w:val="007A3CC6"/>
    <w:rsid w:val="007A44B4"/>
    <w:rsid w:val="007A7D3D"/>
    <w:rsid w:val="007B225D"/>
    <w:rsid w:val="007B4D09"/>
    <w:rsid w:val="007C174F"/>
    <w:rsid w:val="007C1C64"/>
    <w:rsid w:val="007C7FB1"/>
    <w:rsid w:val="007D03EA"/>
    <w:rsid w:val="007D6A40"/>
    <w:rsid w:val="007E48BC"/>
    <w:rsid w:val="007E575F"/>
    <w:rsid w:val="007E6F98"/>
    <w:rsid w:val="007E79F7"/>
    <w:rsid w:val="007F3630"/>
    <w:rsid w:val="007F604C"/>
    <w:rsid w:val="007F7C04"/>
    <w:rsid w:val="00801784"/>
    <w:rsid w:val="00802EE2"/>
    <w:rsid w:val="00807559"/>
    <w:rsid w:val="008213D2"/>
    <w:rsid w:val="008250F0"/>
    <w:rsid w:val="008342CD"/>
    <w:rsid w:val="00840186"/>
    <w:rsid w:val="00840542"/>
    <w:rsid w:val="008450BC"/>
    <w:rsid w:val="00852697"/>
    <w:rsid w:val="0085334B"/>
    <w:rsid w:val="008648F7"/>
    <w:rsid w:val="008651BF"/>
    <w:rsid w:val="00870214"/>
    <w:rsid w:val="00872C63"/>
    <w:rsid w:val="00882FF2"/>
    <w:rsid w:val="008834B1"/>
    <w:rsid w:val="00885C51"/>
    <w:rsid w:val="00885EB0"/>
    <w:rsid w:val="00886CEF"/>
    <w:rsid w:val="00891F4B"/>
    <w:rsid w:val="0089264A"/>
    <w:rsid w:val="00896B85"/>
    <w:rsid w:val="008A22BE"/>
    <w:rsid w:val="008A46D5"/>
    <w:rsid w:val="008B2D8A"/>
    <w:rsid w:val="008B3962"/>
    <w:rsid w:val="008B4596"/>
    <w:rsid w:val="008C1A60"/>
    <w:rsid w:val="008C1B36"/>
    <w:rsid w:val="008C7B55"/>
    <w:rsid w:val="008D0084"/>
    <w:rsid w:val="008D06C6"/>
    <w:rsid w:val="008D5293"/>
    <w:rsid w:val="008E6250"/>
    <w:rsid w:val="008F0779"/>
    <w:rsid w:val="008F791C"/>
    <w:rsid w:val="00902AF6"/>
    <w:rsid w:val="00902B5C"/>
    <w:rsid w:val="00912847"/>
    <w:rsid w:val="00912AD0"/>
    <w:rsid w:val="00920249"/>
    <w:rsid w:val="00923B2F"/>
    <w:rsid w:val="00924C80"/>
    <w:rsid w:val="00932F14"/>
    <w:rsid w:val="00937651"/>
    <w:rsid w:val="0094247F"/>
    <w:rsid w:val="00942D60"/>
    <w:rsid w:val="00943001"/>
    <w:rsid w:val="00947B67"/>
    <w:rsid w:val="009503E1"/>
    <w:rsid w:val="0096523B"/>
    <w:rsid w:val="00966EE3"/>
    <w:rsid w:val="00970CFA"/>
    <w:rsid w:val="00971352"/>
    <w:rsid w:val="00972D06"/>
    <w:rsid w:val="00975085"/>
    <w:rsid w:val="0097547C"/>
    <w:rsid w:val="00976B59"/>
    <w:rsid w:val="009823B2"/>
    <w:rsid w:val="0098487D"/>
    <w:rsid w:val="0098537B"/>
    <w:rsid w:val="00985DD0"/>
    <w:rsid w:val="00987CC1"/>
    <w:rsid w:val="00987E59"/>
    <w:rsid w:val="009A391C"/>
    <w:rsid w:val="009A50F2"/>
    <w:rsid w:val="009A6EB7"/>
    <w:rsid w:val="009B229A"/>
    <w:rsid w:val="009C2F65"/>
    <w:rsid w:val="009C5D04"/>
    <w:rsid w:val="009C7293"/>
    <w:rsid w:val="009D15CF"/>
    <w:rsid w:val="009D1F6E"/>
    <w:rsid w:val="009E0576"/>
    <w:rsid w:val="009E0A61"/>
    <w:rsid w:val="009E3010"/>
    <w:rsid w:val="009E340B"/>
    <w:rsid w:val="009F007E"/>
    <w:rsid w:val="009F1176"/>
    <w:rsid w:val="009F288E"/>
    <w:rsid w:val="009F7065"/>
    <w:rsid w:val="009F76B5"/>
    <w:rsid w:val="00A067E4"/>
    <w:rsid w:val="00A077AF"/>
    <w:rsid w:val="00A152D1"/>
    <w:rsid w:val="00A27C01"/>
    <w:rsid w:val="00A30707"/>
    <w:rsid w:val="00A316EA"/>
    <w:rsid w:val="00A35EC6"/>
    <w:rsid w:val="00A4175D"/>
    <w:rsid w:val="00A4525C"/>
    <w:rsid w:val="00A47DE4"/>
    <w:rsid w:val="00A5055F"/>
    <w:rsid w:val="00A5378B"/>
    <w:rsid w:val="00A54151"/>
    <w:rsid w:val="00A56DC7"/>
    <w:rsid w:val="00A60797"/>
    <w:rsid w:val="00A60AE1"/>
    <w:rsid w:val="00A63653"/>
    <w:rsid w:val="00A65174"/>
    <w:rsid w:val="00A74FD1"/>
    <w:rsid w:val="00A77BFA"/>
    <w:rsid w:val="00A84A58"/>
    <w:rsid w:val="00A84C67"/>
    <w:rsid w:val="00A8742B"/>
    <w:rsid w:val="00A92002"/>
    <w:rsid w:val="00A924F6"/>
    <w:rsid w:val="00A93FBB"/>
    <w:rsid w:val="00AA19C3"/>
    <w:rsid w:val="00AA7751"/>
    <w:rsid w:val="00AA78CC"/>
    <w:rsid w:val="00AB47E7"/>
    <w:rsid w:val="00AD1642"/>
    <w:rsid w:val="00AD6D33"/>
    <w:rsid w:val="00AD6F84"/>
    <w:rsid w:val="00AF0509"/>
    <w:rsid w:val="00AF06FC"/>
    <w:rsid w:val="00AF3391"/>
    <w:rsid w:val="00AF387F"/>
    <w:rsid w:val="00AF723B"/>
    <w:rsid w:val="00B00E7F"/>
    <w:rsid w:val="00B07110"/>
    <w:rsid w:val="00B102F1"/>
    <w:rsid w:val="00B12F1E"/>
    <w:rsid w:val="00B173DA"/>
    <w:rsid w:val="00B21DCC"/>
    <w:rsid w:val="00B25F37"/>
    <w:rsid w:val="00B30E51"/>
    <w:rsid w:val="00B3442C"/>
    <w:rsid w:val="00B37BF0"/>
    <w:rsid w:val="00B44422"/>
    <w:rsid w:val="00B46EA0"/>
    <w:rsid w:val="00B47E60"/>
    <w:rsid w:val="00B629D5"/>
    <w:rsid w:val="00B64DD3"/>
    <w:rsid w:val="00B703B5"/>
    <w:rsid w:val="00B710CD"/>
    <w:rsid w:val="00B731D3"/>
    <w:rsid w:val="00B777F5"/>
    <w:rsid w:val="00B828B9"/>
    <w:rsid w:val="00B833B0"/>
    <w:rsid w:val="00B839A3"/>
    <w:rsid w:val="00B84BB0"/>
    <w:rsid w:val="00B87E23"/>
    <w:rsid w:val="00B902BD"/>
    <w:rsid w:val="00B90B14"/>
    <w:rsid w:val="00B91C91"/>
    <w:rsid w:val="00B949F0"/>
    <w:rsid w:val="00B960BA"/>
    <w:rsid w:val="00BA159A"/>
    <w:rsid w:val="00BA24E2"/>
    <w:rsid w:val="00BB0443"/>
    <w:rsid w:val="00BC4A7E"/>
    <w:rsid w:val="00BD1B7A"/>
    <w:rsid w:val="00BD2A39"/>
    <w:rsid w:val="00BD2E80"/>
    <w:rsid w:val="00BD59CB"/>
    <w:rsid w:val="00BE11B8"/>
    <w:rsid w:val="00BF02F4"/>
    <w:rsid w:val="00BF19EF"/>
    <w:rsid w:val="00BF4C28"/>
    <w:rsid w:val="00BF7FF0"/>
    <w:rsid w:val="00C04610"/>
    <w:rsid w:val="00C057F4"/>
    <w:rsid w:val="00C06675"/>
    <w:rsid w:val="00C076F6"/>
    <w:rsid w:val="00C116A1"/>
    <w:rsid w:val="00C12502"/>
    <w:rsid w:val="00C148F5"/>
    <w:rsid w:val="00C15A6C"/>
    <w:rsid w:val="00C15D5E"/>
    <w:rsid w:val="00C1733F"/>
    <w:rsid w:val="00C30CA1"/>
    <w:rsid w:val="00C36578"/>
    <w:rsid w:val="00C37054"/>
    <w:rsid w:val="00C40AA5"/>
    <w:rsid w:val="00C46F70"/>
    <w:rsid w:val="00C476D0"/>
    <w:rsid w:val="00C55104"/>
    <w:rsid w:val="00C61AC1"/>
    <w:rsid w:val="00C647F1"/>
    <w:rsid w:val="00C76D44"/>
    <w:rsid w:val="00C77E24"/>
    <w:rsid w:val="00C836E3"/>
    <w:rsid w:val="00C86577"/>
    <w:rsid w:val="00C92E07"/>
    <w:rsid w:val="00C93CCD"/>
    <w:rsid w:val="00C96868"/>
    <w:rsid w:val="00C96F33"/>
    <w:rsid w:val="00CA0416"/>
    <w:rsid w:val="00CA3849"/>
    <w:rsid w:val="00CA3967"/>
    <w:rsid w:val="00CA641D"/>
    <w:rsid w:val="00CB386B"/>
    <w:rsid w:val="00CB4F25"/>
    <w:rsid w:val="00CC00DD"/>
    <w:rsid w:val="00CC560B"/>
    <w:rsid w:val="00CC71B8"/>
    <w:rsid w:val="00CC75E2"/>
    <w:rsid w:val="00CD46EB"/>
    <w:rsid w:val="00CD7EBF"/>
    <w:rsid w:val="00CE7D5F"/>
    <w:rsid w:val="00CE7FBA"/>
    <w:rsid w:val="00CF1E6E"/>
    <w:rsid w:val="00CF702C"/>
    <w:rsid w:val="00D056F1"/>
    <w:rsid w:val="00D11171"/>
    <w:rsid w:val="00D1572E"/>
    <w:rsid w:val="00D168FF"/>
    <w:rsid w:val="00D16BA9"/>
    <w:rsid w:val="00D22F3C"/>
    <w:rsid w:val="00D22F50"/>
    <w:rsid w:val="00D23DB6"/>
    <w:rsid w:val="00D243C1"/>
    <w:rsid w:val="00D25759"/>
    <w:rsid w:val="00D27155"/>
    <w:rsid w:val="00D36531"/>
    <w:rsid w:val="00D4020F"/>
    <w:rsid w:val="00D410BF"/>
    <w:rsid w:val="00D41429"/>
    <w:rsid w:val="00D43F9D"/>
    <w:rsid w:val="00D43FE6"/>
    <w:rsid w:val="00D4456E"/>
    <w:rsid w:val="00D449B3"/>
    <w:rsid w:val="00D51A95"/>
    <w:rsid w:val="00D571E9"/>
    <w:rsid w:val="00D60568"/>
    <w:rsid w:val="00D62033"/>
    <w:rsid w:val="00D626CA"/>
    <w:rsid w:val="00D7088C"/>
    <w:rsid w:val="00D70C7A"/>
    <w:rsid w:val="00D81B3C"/>
    <w:rsid w:val="00D81D38"/>
    <w:rsid w:val="00D82516"/>
    <w:rsid w:val="00D83746"/>
    <w:rsid w:val="00D838D3"/>
    <w:rsid w:val="00D8467D"/>
    <w:rsid w:val="00D85DE9"/>
    <w:rsid w:val="00D861A5"/>
    <w:rsid w:val="00D934C6"/>
    <w:rsid w:val="00D9620E"/>
    <w:rsid w:val="00DA07F7"/>
    <w:rsid w:val="00DA10A8"/>
    <w:rsid w:val="00DB1E08"/>
    <w:rsid w:val="00DB2973"/>
    <w:rsid w:val="00DC1B56"/>
    <w:rsid w:val="00DC2129"/>
    <w:rsid w:val="00DC38A5"/>
    <w:rsid w:val="00DC6570"/>
    <w:rsid w:val="00DC7731"/>
    <w:rsid w:val="00DD189E"/>
    <w:rsid w:val="00DD37FE"/>
    <w:rsid w:val="00DD3C5E"/>
    <w:rsid w:val="00DE62AF"/>
    <w:rsid w:val="00DE7C11"/>
    <w:rsid w:val="00DF25C3"/>
    <w:rsid w:val="00DF2F14"/>
    <w:rsid w:val="00DF47D6"/>
    <w:rsid w:val="00E001A9"/>
    <w:rsid w:val="00E04062"/>
    <w:rsid w:val="00E063C6"/>
    <w:rsid w:val="00E066BA"/>
    <w:rsid w:val="00E07A08"/>
    <w:rsid w:val="00E13522"/>
    <w:rsid w:val="00E14658"/>
    <w:rsid w:val="00E2003B"/>
    <w:rsid w:val="00E203C2"/>
    <w:rsid w:val="00E279D8"/>
    <w:rsid w:val="00E307BD"/>
    <w:rsid w:val="00E30F13"/>
    <w:rsid w:val="00E319B1"/>
    <w:rsid w:val="00E32418"/>
    <w:rsid w:val="00E4237E"/>
    <w:rsid w:val="00E44E0D"/>
    <w:rsid w:val="00E50741"/>
    <w:rsid w:val="00E5492F"/>
    <w:rsid w:val="00E56D89"/>
    <w:rsid w:val="00E60FB7"/>
    <w:rsid w:val="00E61992"/>
    <w:rsid w:val="00E62DEF"/>
    <w:rsid w:val="00E70A86"/>
    <w:rsid w:val="00E777EC"/>
    <w:rsid w:val="00E80FCD"/>
    <w:rsid w:val="00E84109"/>
    <w:rsid w:val="00E87F29"/>
    <w:rsid w:val="00E907B8"/>
    <w:rsid w:val="00E96E59"/>
    <w:rsid w:val="00EA3F0A"/>
    <w:rsid w:val="00EA7F2F"/>
    <w:rsid w:val="00EB429D"/>
    <w:rsid w:val="00EB5CF3"/>
    <w:rsid w:val="00EC00DE"/>
    <w:rsid w:val="00EC30E1"/>
    <w:rsid w:val="00ED172A"/>
    <w:rsid w:val="00EE7A64"/>
    <w:rsid w:val="00EF1CC2"/>
    <w:rsid w:val="00EF73D9"/>
    <w:rsid w:val="00EF7C98"/>
    <w:rsid w:val="00F053D3"/>
    <w:rsid w:val="00F077FF"/>
    <w:rsid w:val="00F11F6C"/>
    <w:rsid w:val="00F14BEC"/>
    <w:rsid w:val="00F155B9"/>
    <w:rsid w:val="00F16E53"/>
    <w:rsid w:val="00F17143"/>
    <w:rsid w:val="00F225C5"/>
    <w:rsid w:val="00F2587A"/>
    <w:rsid w:val="00F3033E"/>
    <w:rsid w:val="00F34404"/>
    <w:rsid w:val="00F35939"/>
    <w:rsid w:val="00F360CA"/>
    <w:rsid w:val="00F3715D"/>
    <w:rsid w:val="00F420C8"/>
    <w:rsid w:val="00F424C2"/>
    <w:rsid w:val="00F42A4C"/>
    <w:rsid w:val="00F44124"/>
    <w:rsid w:val="00F604DE"/>
    <w:rsid w:val="00F72A16"/>
    <w:rsid w:val="00F93B7A"/>
    <w:rsid w:val="00F941AD"/>
    <w:rsid w:val="00FA225E"/>
    <w:rsid w:val="00FB07C2"/>
    <w:rsid w:val="00FB4357"/>
    <w:rsid w:val="00FB54AB"/>
    <w:rsid w:val="00FB7512"/>
    <w:rsid w:val="00FC2ED7"/>
    <w:rsid w:val="00FC7990"/>
    <w:rsid w:val="00FD7547"/>
    <w:rsid w:val="00FE2C25"/>
    <w:rsid w:val="00FE593F"/>
    <w:rsid w:val="00FF5F5C"/>
    <w:rsid w:val="00FF6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7D172"/>
  <w15:docId w15:val="{5AB5E40E-26BC-4CC5-857A-D3F6E046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4"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D59CB"/>
    <w:pPr>
      <w:keepNext/>
      <w:spacing w:before="240" w:after="240"/>
      <w:ind w:left="567" w:hanging="567"/>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BD59CB"/>
    <w:pPr>
      <w:keepNext/>
      <w:spacing w:before="240" w:after="240"/>
      <w:ind w:left="567" w:hanging="567"/>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D59C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BD59CB"/>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4"/>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4E5F"/>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SFooter Char"/>
    <w:basedOn w:val="DefaultParagraphFont"/>
    <w:link w:val="Footer"/>
    <w:uiPriority w:val="4"/>
    <w:rsid w:val="000C3587"/>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s://www.uniprot.org/" TargetMode="Externa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yperlink" Target="https://osp.od.nih.gov/wp-content/uploads/NIH_Guidelines.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Layout" Target="diagrams/layout1.xml"/><Relationship Id="rId29" Type="http://schemas.openxmlformats.org/officeDocument/2006/relationships/fontTable" Target="fontTable.xml"/><Relationship Id="rId1" Type="http://schemas.openxmlformats.org/officeDocument/2006/relationships/customXml" Target="../customXml/item1.xml"/><Relationship Id="rId24" Type="http://schemas.openxmlformats.org/officeDocument/2006/relationships/hyperlink" Target="https://www.accessdata.fda.gov/scripts/fdcc/?set=GRASNotices&amp;sort=GRN_No&amp;order=DESC&amp;startrow=1&amp;type=basic&amp;search=aspergillus%20niger" TargetMode="External"/><Relationship Id="rId11" Type="http://schemas.openxmlformats.org/officeDocument/2006/relationships/settings" Target="settings.xml"/><Relationship Id="rId28" Type="http://schemas.openxmlformats.org/officeDocument/2006/relationships/hyperlink" Target="http://www.allergen.org" TargetMode="External"/><Relationship Id="rId15" Type="http://schemas.openxmlformats.org/officeDocument/2006/relationships/image" Target="media/image1.png"/><Relationship Id="rId23" Type="http://schemas.microsoft.com/office/2007/relationships/diagramDrawing" Target="diagrams/drawing1.xml"/><Relationship Id="rId10" Type="http://schemas.openxmlformats.org/officeDocument/2006/relationships/styles" Target="styles.xml"/><Relationship Id="rId19" Type="http://schemas.openxmlformats.org/officeDocument/2006/relationships/diagramData" Target="diagrams/data1.xml"/><Relationship Id="rId30" Type="http://schemas.openxmlformats.org/officeDocument/2006/relationships/theme" Target="theme/theme1.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diagramColors" Target="diagrams/colors1.xml"/><Relationship Id="rId27" Type="http://schemas.openxmlformats.org/officeDocument/2006/relationships/hyperlink" Target="http://www.allergenonline.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iprot.org/" TargetMode="External"/><Relationship Id="rId1" Type="http://schemas.openxmlformats.org/officeDocument/2006/relationships/hyperlink" Target="https://osp.od.nih.gov/wp-content/uploads/NIH_Guidelines.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18874B-1901-4597-A592-A55F62C175FF}" type="doc">
      <dgm:prSet loTypeId="urn:microsoft.com/office/officeart/2005/8/layout/bProcess3" loCatId="process" qsTypeId="urn:microsoft.com/office/officeart/2005/8/quickstyle/simple3" qsCatId="simple" csTypeId="urn:microsoft.com/office/officeart/2005/8/colors/accent1_2" csCatId="accent1" phldr="1"/>
      <dgm:spPr/>
      <dgm:t>
        <a:bodyPr/>
        <a:lstStyle/>
        <a:p>
          <a:endParaRPr lang="en-US"/>
        </a:p>
      </dgm:t>
    </dgm:pt>
    <dgm:pt modelId="{37AFDD02-FD50-41D3-8A8B-4045CBE2470A}">
      <dgm:prSet phldrT="[Text]" custT="1"/>
      <dgm:spPr/>
      <dgm:t>
        <a:bodyPr/>
        <a:lstStyle/>
        <a:p>
          <a:pPr algn="ctr"/>
          <a:r>
            <a:rPr lang="en-US" sz="1200" b="1" i="1"/>
            <a:t>Part 1: Fermentation</a:t>
          </a:r>
        </a:p>
      </dgm:t>
    </dgm:pt>
    <dgm:pt modelId="{372617D9-93DF-40A7-A4BC-165C34B7AB0C}" type="parTrans" cxnId="{EABA1435-240A-45B0-9594-0DFCB40FE533}">
      <dgm:prSet/>
      <dgm:spPr/>
      <dgm:t>
        <a:bodyPr/>
        <a:lstStyle/>
        <a:p>
          <a:pPr algn="ctr"/>
          <a:endParaRPr lang="en-US"/>
        </a:p>
      </dgm:t>
    </dgm:pt>
    <dgm:pt modelId="{3708981B-D6D0-405F-BED0-126EE29F9FBC}" type="sibTrans" cxnId="{EABA1435-240A-45B0-9594-0DFCB40FE533}">
      <dgm:prSet/>
      <dgm:spPr/>
      <dgm:t>
        <a:bodyPr/>
        <a:lstStyle/>
        <a:p>
          <a:pPr algn="ctr"/>
          <a:endParaRPr lang="en-US"/>
        </a:p>
      </dgm:t>
    </dgm:pt>
    <dgm:pt modelId="{BBD56BCB-15B0-4A75-BEDC-10CEA9EB75B6}">
      <dgm:prSet phldrT="[Text]"/>
      <dgm:spPr/>
      <dgm:t>
        <a:bodyPr/>
        <a:lstStyle/>
        <a:p>
          <a:pPr algn="ctr"/>
          <a:r>
            <a:rPr lang="en-US"/>
            <a:t>Concentration</a:t>
          </a:r>
        </a:p>
      </dgm:t>
    </dgm:pt>
    <dgm:pt modelId="{2AA308FF-0DD1-46C1-A9FD-3EF6EDD52F93}" type="parTrans" cxnId="{9EDF5719-F1A2-4E31-AC2A-D963715E45B5}">
      <dgm:prSet/>
      <dgm:spPr/>
      <dgm:t>
        <a:bodyPr/>
        <a:lstStyle/>
        <a:p>
          <a:pPr algn="ctr"/>
          <a:endParaRPr lang="en-US"/>
        </a:p>
      </dgm:t>
    </dgm:pt>
    <dgm:pt modelId="{EF1E943F-1A87-4C9C-B896-43E026130541}" type="sibTrans" cxnId="{9EDF5719-F1A2-4E31-AC2A-D963715E45B5}">
      <dgm:prSet/>
      <dgm:spPr/>
      <dgm:t>
        <a:bodyPr/>
        <a:lstStyle/>
        <a:p>
          <a:pPr algn="ctr"/>
          <a:endParaRPr lang="en-US"/>
        </a:p>
      </dgm:t>
    </dgm:pt>
    <dgm:pt modelId="{EEE9D1AD-3E43-4AE2-8D14-447514F919F0}">
      <dgm:prSet phldrT="[Text]" custT="1"/>
      <dgm:spPr/>
      <dgm:t>
        <a:bodyPr/>
        <a:lstStyle/>
        <a:p>
          <a:pPr algn="ctr"/>
          <a:r>
            <a:rPr lang="en-US" sz="1200" b="0" i="0"/>
            <a:t>Stabilisation and preservation</a:t>
          </a:r>
        </a:p>
      </dgm:t>
    </dgm:pt>
    <dgm:pt modelId="{A422414B-B5DE-4E71-9ACB-2457750F8EDB}" type="parTrans" cxnId="{F0F6F42C-4E9F-4510-A8CD-07E08975DE10}">
      <dgm:prSet/>
      <dgm:spPr/>
      <dgm:t>
        <a:bodyPr/>
        <a:lstStyle/>
        <a:p>
          <a:pPr algn="ctr"/>
          <a:endParaRPr lang="en-US"/>
        </a:p>
      </dgm:t>
    </dgm:pt>
    <dgm:pt modelId="{433F0AFA-AE75-4302-A9C7-DE783ED3A775}" type="sibTrans" cxnId="{F0F6F42C-4E9F-4510-A8CD-07E08975DE10}">
      <dgm:prSet/>
      <dgm:spPr/>
      <dgm:t>
        <a:bodyPr/>
        <a:lstStyle/>
        <a:p>
          <a:pPr algn="ctr"/>
          <a:endParaRPr lang="en-US"/>
        </a:p>
      </dgm:t>
    </dgm:pt>
    <dgm:pt modelId="{F4A20DFB-BD14-4976-BF1F-3E638D714CBA}">
      <dgm:prSet/>
      <dgm:spPr/>
      <dgm:t>
        <a:bodyPr/>
        <a:lstStyle/>
        <a:p>
          <a:pPr algn="ctr"/>
          <a:r>
            <a:rPr lang="en-US"/>
            <a:t>Inoculation</a:t>
          </a:r>
        </a:p>
      </dgm:t>
    </dgm:pt>
    <dgm:pt modelId="{6BED993B-FA06-403A-B2AF-F92F0A1B9694}" type="parTrans" cxnId="{D0A5912F-5CEC-4F8A-9956-317FCC5A8B40}">
      <dgm:prSet/>
      <dgm:spPr/>
      <dgm:t>
        <a:bodyPr/>
        <a:lstStyle/>
        <a:p>
          <a:pPr algn="ctr"/>
          <a:endParaRPr lang="en-US"/>
        </a:p>
      </dgm:t>
    </dgm:pt>
    <dgm:pt modelId="{113CA7C1-6591-492D-A00C-7F7A39100EB8}" type="sibTrans" cxnId="{D0A5912F-5CEC-4F8A-9956-317FCC5A8B40}">
      <dgm:prSet/>
      <dgm:spPr/>
      <dgm:t>
        <a:bodyPr/>
        <a:lstStyle/>
        <a:p>
          <a:pPr algn="ctr"/>
          <a:endParaRPr lang="en-US"/>
        </a:p>
      </dgm:t>
    </dgm:pt>
    <dgm:pt modelId="{259A558C-19B0-4BB8-92CA-6E318EEB5E67}">
      <dgm:prSet/>
      <dgm:spPr/>
      <dgm:t>
        <a:bodyPr/>
        <a:lstStyle/>
        <a:p>
          <a:pPr algn="ctr"/>
          <a:r>
            <a:rPr lang="en-US"/>
            <a:t>Seed fermentation</a:t>
          </a:r>
        </a:p>
      </dgm:t>
    </dgm:pt>
    <dgm:pt modelId="{71958C7E-E744-40E7-ABE0-8ED2E6F5209D}" type="parTrans" cxnId="{BF9332BD-B294-4C52-99B2-FF17DD369DDC}">
      <dgm:prSet/>
      <dgm:spPr/>
      <dgm:t>
        <a:bodyPr/>
        <a:lstStyle/>
        <a:p>
          <a:pPr algn="ctr"/>
          <a:endParaRPr lang="en-US"/>
        </a:p>
      </dgm:t>
    </dgm:pt>
    <dgm:pt modelId="{C170584A-5DFB-48FC-99B5-48BF314B2C47}" type="sibTrans" cxnId="{BF9332BD-B294-4C52-99B2-FF17DD369DDC}">
      <dgm:prSet/>
      <dgm:spPr/>
      <dgm:t>
        <a:bodyPr/>
        <a:lstStyle/>
        <a:p>
          <a:pPr algn="ctr"/>
          <a:endParaRPr lang="en-US"/>
        </a:p>
      </dgm:t>
    </dgm:pt>
    <dgm:pt modelId="{FE35EF82-1C16-4D50-8001-D61B7CC72945}">
      <dgm:prSet/>
      <dgm:spPr/>
      <dgm:t>
        <a:bodyPr/>
        <a:lstStyle/>
        <a:p>
          <a:pPr algn="ctr"/>
          <a:r>
            <a:rPr lang="en-US"/>
            <a:t>Pre-treatment</a:t>
          </a:r>
        </a:p>
      </dgm:t>
    </dgm:pt>
    <dgm:pt modelId="{E05AD591-0F5D-4B98-B11A-F7E73060D09C}" type="parTrans" cxnId="{4C286765-9EA1-463A-B946-BFCFDE535E6D}">
      <dgm:prSet/>
      <dgm:spPr/>
      <dgm:t>
        <a:bodyPr/>
        <a:lstStyle/>
        <a:p>
          <a:pPr algn="ctr"/>
          <a:endParaRPr lang="en-US"/>
        </a:p>
      </dgm:t>
    </dgm:pt>
    <dgm:pt modelId="{68DE40A2-F4D1-43DB-B4A1-18124EEC4DEB}" type="sibTrans" cxnId="{4C286765-9EA1-463A-B946-BFCFDE535E6D}">
      <dgm:prSet/>
      <dgm:spPr/>
      <dgm:t>
        <a:bodyPr/>
        <a:lstStyle/>
        <a:p>
          <a:pPr algn="ctr"/>
          <a:endParaRPr lang="en-US"/>
        </a:p>
      </dgm:t>
    </dgm:pt>
    <dgm:pt modelId="{378850F2-E665-4085-B257-B25B4981573F}">
      <dgm:prSet/>
      <dgm:spPr/>
      <dgm:t>
        <a:bodyPr/>
        <a:lstStyle/>
        <a:p>
          <a:pPr algn="ctr"/>
          <a:r>
            <a:rPr lang="en-US"/>
            <a:t>Primary separation</a:t>
          </a:r>
        </a:p>
      </dgm:t>
    </dgm:pt>
    <dgm:pt modelId="{3F45A0C7-0A4D-49CF-A507-630DDD8E5381}" type="parTrans" cxnId="{3776169B-C011-47CB-B38F-70DADE49349D}">
      <dgm:prSet/>
      <dgm:spPr/>
      <dgm:t>
        <a:bodyPr/>
        <a:lstStyle/>
        <a:p>
          <a:pPr algn="ctr"/>
          <a:endParaRPr lang="en-US"/>
        </a:p>
      </dgm:t>
    </dgm:pt>
    <dgm:pt modelId="{2047E5AF-EB3C-4541-BBEE-9DFE19B8526B}" type="sibTrans" cxnId="{3776169B-C011-47CB-B38F-70DADE49349D}">
      <dgm:prSet/>
      <dgm:spPr/>
      <dgm:t>
        <a:bodyPr/>
        <a:lstStyle/>
        <a:p>
          <a:pPr algn="ctr"/>
          <a:endParaRPr lang="en-US"/>
        </a:p>
      </dgm:t>
    </dgm:pt>
    <dgm:pt modelId="{C2E2E1BA-C234-42FD-8946-91E1BE3CF046}">
      <dgm:prSet/>
      <dgm:spPr/>
      <dgm:t>
        <a:bodyPr/>
        <a:lstStyle/>
        <a:p>
          <a:pPr algn="ctr"/>
          <a:r>
            <a:rPr lang="en-US"/>
            <a:t>Filtration</a:t>
          </a:r>
        </a:p>
      </dgm:t>
    </dgm:pt>
    <dgm:pt modelId="{0AEC5282-46DD-4136-9A83-2F37B89B2A6B}" type="parTrans" cxnId="{37A558C2-4300-4123-8CA1-E9BEB6CD7D3E}">
      <dgm:prSet/>
      <dgm:spPr/>
      <dgm:t>
        <a:bodyPr/>
        <a:lstStyle/>
        <a:p>
          <a:pPr algn="ctr"/>
          <a:endParaRPr lang="en-US"/>
        </a:p>
      </dgm:t>
    </dgm:pt>
    <dgm:pt modelId="{D9DE9B2C-02BC-4169-A59D-B6C5E0E7A5E5}" type="sibTrans" cxnId="{37A558C2-4300-4123-8CA1-E9BEB6CD7D3E}">
      <dgm:prSet/>
      <dgm:spPr/>
      <dgm:t>
        <a:bodyPr/>
        <a:lstStyle/>
        <a:p>
          <a:pPr algn="ctr"/>
          <a:endParaRPr lang="en-US"/>
        </a:p>
      </dgm:t>
    </dgm:pt>
    <dgm:pt modelId="{190F63B6-96C6-4412-A59A-6DD1023D9C0E}">
      <dgm:prSet custT="1"/>
      <dgm:spPr/>
      <dgm:t>
        <a:bodyPr/>
        <a:lstStyle/>
        <a:p>
          <a:pPr algn="ctr"/>
          <a:r>
            <a:rPr lang="en-US" sz="1200" b="1" i="1"/>
            <a:t>Part 2: Recovery</a:t>
          </a:r>
        </a:p>
      </dgm:t>
    </dgm:pt>
    <dgm:pt modelId="{5873874B-F244-443C-AE40-F32C99935CB1}" type="sibTrans" cxnId="{E3D69650-FCAE-4746-841A-6630B8812440}">
      <dgm:prSet/>
      <dgm:spPr/>
      <dgm:t>
        <a:bodyPr/>
        <a:lstStyle/>
        <a:p>
          <a:pPr algn="ctr"/>
          <a:endParaRPr lang="en-US"/>
        </a:p>
      </dgm:t>
    </dgm:pt>
    <dgm:pt modelId="{BFC47742-0B59-43F2-9C5A-954D7D9B9B01}" type="parTrans" cxnId="{E3D69650-FCAE-4746-841A-6630B8812440}">
      <dgm:prSet/>
      <dgm:spPr/>
      <dgm:t>
        <a:bodyPr/>
        <a:lstStyle/>
        <a:p>
          <a:pPr algn="ctr"/>
          <a:endParaRPr lang="en-US"/>
        </a:p>
      </dgm:t>
    </dgm:pt>
    <dgm:pt modelId="{7C8ABF2B-7DB2-4B30-9548-4D93EC862C5A}">
      <dgm:prSet/>
      <dgm:spPr/>
      <dgm:t>
        <a:bodyPr/>
        <a:lstStyle/>
        <a:p>
          <a:pPr algn="ctr"/>
          <a:r>
            <a:rPr lang="en-US"/>
            <a:t>Main fermentation</a:t>
          </a:r>
        </a:p>
      </dgm:t>
    </dgm:pt>
    <dgm:pt modelId="{8B001C42-49B1-4819-86D8-716BB616BCB7}" type="parTrans" cxnId="{56D4B8BE-B2A0-446F-A158-6D77856E49B4}">
      <dgm:prSet/>
      <dgm:spPr/>
      <dgm:t>
        <a:bodyPr/>
        <a:lstStyle/>
        <a:p>
          <a:pPr algn="ctr"/>
          <a:endParaRPr lang="en-US"/>
        </a:p>
      </dgm:t>
    </dgm:pt>
    <dgm:pt modelId="{9D02CB57-0F15-41C9-9757-E7ECCFFAFCD2}" type="sibTrans" cxnId="{56D4B8BE-B2A0-446F-A158-6D77856E49B4}">
      <dgm:prSet/>
      <dgm:spPr/>
      <dgm:t>
        <a:bodyPr/>
        <a:lstStyle/>
        <a:p>
          <a:pPr algn="ctr"/>
          <a:endParaRPr lang="en-US"/>
        </a:p>
      </dgm:t>
    </dgm:pt>
    <dgm:pt modelId="{BF663F3D-86AF-46D8-9F13-CACC66052415}" type="pres">
      <dgm:prSet presAssocID="{8018874B-1901-4597-A592-A55F62C175FF}" presName="Name0" presStyleCnt="0">
        <dgm:presLayoutVars>
          <dgm:dir/>
          <dgm:resizeHandles val="exact"/>
        </dgm:presLayoutVars>
      </dgm:prSet>
      <dgm:spPr/>
      <dgm:t>
        <a:bodyPr/>
        <a:lstStyle/>
        <a:p>
          <a:endParaRPr lang="en-US"/>
        </a:p>
      </dgm:t>
    </dgm:pt>
    <dgm:pt modelId="{49F6E98B-AAB0-4761-ADE5-F2D5D0820341}" type="pres">
      <dgm:prSet presAssocID="{37AFDD02-FD50-41D3-8A8B-4045CBE2470A}" presName="node" presStyleLbl="node1" presStyleIdx="0" presStyleCnt="10">
        <dgm:presLayoutVars>
          <dgm:bulletEnabled val="1"/>
        </dgm:presLayoutVars>
      </dgm:prSet>
      <dgm:spPr/>
      <dgm:t>
        <a:bodyPr/>
        <a:lstStyle/>
        <a:p>
          <a:endParaRPr lang="en-US"/>
        </a:p>
      </dgm:t>
    </dgm:pt>
    <dgm:pt modelId="{62F300CD-00AD-4BE3-B1C5-A447446A31D4}" type="pres">
      <dgm:prSet presAssocID="{3708981B-D6D0-405F-BED0-126EE29F9FBC}" presName="sibTrans" presStyleLbl="sibTrans1D1" presStyleIdx="0" presStyleCnt="9"/>
      <dgm:spPr/>
      <dgm:t>
        <a:bodyPr/>
        <a:lstStyle/>
        <a:p>
          <a:endParaRPr lang="en-US"/>
        </a:p>
      </dgm:t>
    </dgm:pt>
    <dgm:pt modelId="{4D8FB2C2-48B5-4CE1-945C-EB1717364CDD}" type="pres">
      <dgm:prSet presAssocID="{3708981B-D6D0-405F-BED0-126EE29F9FBC}" presName="connectorText" presStyleLbl="sibTrans1D1" presStyleIdx="0" presStyleCnt="9"/>
      <dgm:spPr/>
      <dgm:t>
        <a:bodyPr/>
        <a:lstStyle/>
        <a:p>
          <a:endParaRPr lang="en-US"/>
        </a:p>
      </dgm:t>
    </dgm:pt>
    <dgm:pt modelId="{238E348A-7373-486E-8D50-F150B66ED430}" type="pres">
      <dgm:prSet presAssocID="{F4A20DFB-BD14-4976-BF1F-3E638D714CBA}" presName="node" presStyleLbl="node1" presStyleIdx="1" presStyleCnt="10">
        <dgm:presLayoutVars>
          <dgm:bulletEnabled val="1"/>
        </dgm:presLayoutVars>
      </dgm:prSet>
      <dgm:spPr/>
      <dgm:t>
        <a:bodyPr/>
        <a:lstStyle/>
        <a:p>
          <a:endParaRPr lang="en-US"/>
        </a:p>
      </dgm:t>
    </dgm:pt>
    <dgm:pt modelId="{E80FA827-AC6E-46BF-8468-10C08F18EB2E}" type="pres">
      <dgm:prSet presAssocID="{113CA7C1-6591-492D-A00C-7F7A39100EB8}" presName="sibTrans" presStyleLbl="sibTrans1D1" presStyleIdx="1" presStyleCnt="9"/>
      <dgm:spPr/>
      <dgm:t>
        <a:bodyPr/>
        <a:lstStyle/>
        <a:p>
          <a:endParaRPr lang="en-US"/>
        </a:p>
      </dgm:t>
    </dgm:pt>
    <dgm:pt modelId="{BB00EDEF-2441-4AD1-BE3C-78F66F43C5BE}" type="pres">
      <dgm:prSet presAssocID="{113CA7C1-6591-492D-A00C-7F7A39100EB8}" presName="connectorText" presStyleLbl="sibTrans1D1" presStyleIdx="1" presStyleCnt="9"/>
      <dgm:spPr/>
      <dgm:t>
        <a:bodyPr/>
        <a:lstStyle/>
        <a:p>
          <a:endParaRPr lang="en-US"/>
        </a:p>
      </dgm:t>
    </dgm:pt>
    <dgm:pt modelId="{8D3497A9-D13A-4EE7-8673-8F532CC394D8}" type="pres">
      <dgm:prSet presAssocID="{259A558C-19B0-4BB8-92CA-6E318EEB5E67}" presName="node" presStyleLbl="node1" presStyleIdx="2" presStyleCnt="10">
        <dgm:presLayoutVars>
          <dgm:bulletEnabled val="1"/>
        </dgm:presLayoutVars>
      </dgm:prSet>
      <dgm:spPr/>
      <dgm:t>
        <a:bodyPr/>
        <a:lstStyle/>
        <a:p>
          <a:endParaRPr lang="en-US"/>
        </a:p>
      </dgm:t>
    </dgm:pt>
    <dgm:pt modelId="{194BF217-FF6A-43C9-837A-B27015E04271}" type="pres">
      <dgm:prSet presAssocID="{C170584A-5DFB-48FC-99B5-48BF314B2C47}" presName="sibTrans" presStyleLbl="sibTrans1D1" presStyleIdx="2" presStyleCnt="9"/>
      <dgm:spPr/>
      <dgm:t>
        <a:bodyPr/>
        <a:lstStyle/>
        <a:p>
          <a:endParaRPr lang="en-US"/>
        </a:p>
      </dgm:t>
    </dgm:pt>
    <dgm:pt modelId="{EE39813A-87C4-48D6-BB4E-C58D3488EB90}" type="pres">
      <dgm:prSet presAssocID="{C170584A-5DFB-48FC-99B5-48BF314B2C47}" presName="connectorText" presStyleLbl="sibTrans1D1" presStyleIdx="2" presStyleCnt="9"/>
      <dgm:spPr/>
      <dgm:t>
        <a:bodyPr/>
        <a:lstStyle/>
        <a:p>
          <a:endParaRPr lang="en-US"/>
        </a:p>
      </dgm:t>
    </dgm:pt>
    <dgm:pt modelId="{D4731EAB-626E-4466-B4B8-CCE97B01E290}" type="pres">
      <dgm:prSet presAssocID="{7C8ABF2B-7DB2-4B30-9548-4D93EC862C5A}" presName="node" presStyleLbl="node1" presStyleIdx="3" presStyleCnt="10">
        <dgm:presLayoutVars>
          <dgm:bulletEnabled val="1"/>
        </dgm:presLayoutVars>
      </dgm:prSet>
      <dgm:spPr/>
      <dgm:t>
        <a:bodyPr/>
        <a:lstStyle/>
        <a:p>
          <a:endParaRPr lang="en-US"/>
        </a:p>
      </dgm:t>
    </dgm:pt>
    <dgm:pt modelId="{7CD5D5DE-EC97-42A2-9BBD-ECAE893A48E3}" type="pres">
      <dgm:prSet presAssocID="{9D02CB57-0F15-41C9-9757-E7ECCFFAFCD2}" presName="sibTrans" presStyleLbl="sibTrans1D1" presStyleIdx="3" presStyleCnt="9"/>
      <dgm:spPr/>
      <dgm:t>
        <a:bodyPr/>
        <a:lstStyle/>
        <a:p>
          <a:endParaRPr lang="en-US"/>
        </a:p>
      </dgm:t>
    </dgm:pt>
    <dgm:pt modelId="{3C168FED-1A24-445E-8CAE-1DFD48D336FA}" type="pres">
      <dgm:prSet presAssocID="{9D02CB57-0F15-41C9-9757-E7ECCFFAFCD2}" presName="connectorText" presStyleLbl="sibTrans1D1" presStyleIdx="3" presStyleCnt="9"/>
      <dgm:spPr/>
      <dgm:t>
        <a:bodyPr/>
        <a:lstStyle/>
        <a:p>
          <a:endParaRPr lang="en-US"/>
        </a:p>
      </dgm:t>
    </dgm:pt>
    <dgm:pt modelId="{BD393E2C-4063-4D0A-9058-06646357F279}" type="pres">
      <dgm:prSet presAssocID="{190F63B6-96C6-4412-A59A-6DD1023D9C0E}" presName="node" presStyleLbl="node1" presStyleIdx="4" presStyleCnt="10">
        <dgm:presLayoutVars>
          <dgm:bulletEnabled val="1"/>
        </dgm:presLayoutVars>
      </dgm:prSet>
      <dgm:spPr/>
      <dgm:t>
        <a:bodyPr/>
        <a:lstStyle/>
        <a:p>
          <a:endParaRPr lang="en-US"/>
        </a:p>
      </dgm:t>
    </dgm:pt>
    <dgm:pt modelId="{2022A5EC-DAE7-4787-86F2-C4D91BA2B2E4}" type="pres">
      <dgm:prSet presAssocID="{5873874B-F244-443C-AE40-F32C99935CB1}" presName="sibTrans" presStyleLbl="sibTrans1D1" presStyleIdx="4" presStyleCnt="9"/>
      <dgm:spPr/>
      <dgm:t>
        <a:bodyPr/>
        <a:lstStyle/>
        <a:p>
          <a:endParaRPr lang="en-US"/>
        </a:p>
      </dgm:t>
    </dgm:pt>
    <dgm:pt modelId="{FC4A8656-65EC-43AE-BCFC-04D3BF2E6E37}" type="pres">
      <dgm:prSet presAssocID="{5873874B-F244-443C-AE40-F32C99935CB1}" presName="connectorText" presStyleLbl="sibTrans1D1" presStyleIdx="4" presStyleCnt="9"/>
      <dgm:spPr/>
      <dgm:t>
        <a:bodyPr/>
        <a:lstStyle/>
        <a:p>
          <a:endParaRPr lang="en-US"/>
        </a:p>
      </dgm:t>
    </dgm:pt>
    <dgm:pt modelId="{E0BA3037-A004-49B5-8C3B-9F21D6829C48}" type="pres">
      <dgm:prSet presAssocID="{FE35EF82-1C16-4D50-8001-D61B7CC72945}" presName="node" presStyleLbl="node1" presStyleIdx="5" presStyleCnt="10">
        <dgm:presLayoutVars>
          <dgm:bulletEnabled val="1"/>
        </dgm:presLayoutVars>
      </dgm:prSet>
      <dgm:spPr/>
      <dgm:t>
        <a:bodyPr/>
        <a:lstStyle/>
        <a:p>
          <a:endParaRPr lang="en-US"/>
        </a:p>
      </dgm:t>
    </dgm:pt>
    <dgm:pt modelId="{C56818BB-83D6-4A59-AB78-52D7BF5B7542}" type="pres">
      <dgm:prSet presAssocID="{68DE40A2-F4D1-43DB-B4A1-18124EEC4DEB}" presName="sibTrans" presStyleLbl="sibTrans1D1" presStyleIdx="5" presStyleCnt="9"/>
      <dgm:spPr/>
      <dgm:t>
        <a:bodyPr/>
        <a:lstStyle/>
        <a:p>
          <a:endParaRPr lang="en-US"/>
        </a:p>
      </dgm:t>
    </dgm:pt>
    <dgm:pt modelId="{38BDEB44-467B-42F5-8D8D-04D37B1CC2DC}" type="pres">
      <dgm:prSet presAssocID="{68DE40A2-F4D1-43DB-B4A1-18124EEC4DEB}" presName="connectorText" presStyleLbl="sibTrans1D1" presStyleIdx="5" presStyleCnt="9"/>
      <dgm:spPr/>
      <dgm:t>
        <a:bodyPr/>
        <a:lstStyle/>
        <a:p>
          <a:endParaRPr lang="en-US"/>
        </a:p>
      </dgm:t>
    </dgm:pt>
    <dgm:pt modelId="{7665B1EA-6F7A-4C81-BD6B-CB5373641450}" type="pres">
      <dgm:prSet presAssocID="{378850F2-E665-4085-B257-B25B4981573F}" presName="node" presStyleLbl="node1" presStyleIdx="6" presStyleCnt="10">
        <dgm:presLayoutVars>
          <dgm:bulletEnabled val="1"/>
        </dgm:presLayoutVars>
      </dgm:prSet>
      <dgm:spPr/>
      <dgm:t>
        <a:bodyPr/>
        <a:lstStyle/>
        <a:p>
          <a:endParaRPr lang="en-US"/>
        </a:p>
      </dgm:t>
    </dgm:pt>
    <dgm:pt modelId="{13136952-D075-4D3B-A944-E7897D5705C5}" type="pres">
      <dgm:prSet presAssocID="{2047E5AF-EB3C-4541-BBEE-9DFE19B8526B}" presName="sibTrans" presStyleLbl="sibTrans1D1" presStyleIdx="6" presStyleCnt="9"/>
      <dgm:spPr/>
      <dgm:t>
        <a:bodyPr/>
        <a:lstStyle/>
        <a:p>
          <a:endParaRPr lang="en-US"/>
        </a:p>
      </dgm:t>
    </dgm:pt>
    <dgm:pt modelId="{C1CB8423-2DE1-4154-B464-373D5D37EEE2}" type="pres">
      <dgm:prSet presAssocID="{2047E5AF-EB3C-4541-BBEE-9DFE19B8526B}" presName="connectorText" presStyleLbl="sibTrans1D1" presStyleIdx="6" presStyleCnt="9"/>
      <dgm:spPr/>
      <dgm:t>
        <a:bodyPr/>
        <a:lstStyle/>
        <a:p>
          <a:endParaRPr lang="en-US"/>
        </a:p>
      </dgm:t>
    </dgm:pt>
    <dgm:pt modelId="{ABC9F4BF-2856-4462-BF1F-788BE068556B}" type="pres">
      <dgm:prSet presAssocID="{C2E2E1BA-C234-42FD-8946-91E1BE3CF046}" presName="node" presStyleLbl="node1" presStyleIdx="7" presStyleCnt="10">
        <dgm:presLayoutVars>
          <dgm:bulletEnabled val="1"/>
        </dgm:presLayoutVars>
      </dgm:prSet>
      <dgm:spPr/>
      <dgm:t>
        <a:bodyPr/>
        <a:lstStyle/>
        <a:p>
          <a:endParaRPr lang="en-US"/>
        </a:p>
      </dgm:t>
    </dgm:pt>
    <dgm:pt modelId="{7F6A7D66-819C-4272-89D9-46DD14E843B1}" type="pres">
      <dgm:prSet presAssocID="{D9DE9B2C-02BC-4169-A59D-B6C5E0E7A5E5}" presName="sibTrans" presStyleLbl="sibTrans1D1" presStyleIdx="7" presStyleCnt="9"/>
      <dgm:spPr/>
      <dgm:t>
        <a:bodyPr/>
        <a:lstStyle/>
        <a:p>
          <a:endParaRPr lang="en-US"/>
        </a:p>
      </dgm:t>
    </dgm:pt>
    <dgm:pt modelId="{6B9D0C00-7022-4DED-8FBD-AA473A1D69C7}" type="pres">
      <dgm:prSet presAssocID="{D9DE9B2C-02BC-4169-A59D-B6C5E0E7A5E5}" presName="connectorText" presStyleLbl="sibTrans1D1" presStyleIdx="7" presStyleCnt="9"/>
      <dgm:spPr/>
      <dgm:t>
        <a:bodyPr/>
        <a:lstStyle/>
        <a:p>
          <a:endParaRPr lang="en-US"/>
        </a:p>
      </dgm:t>
    </dgm:pt>
    <dgm:pt modelId="{DB0060EE-8BE3-4A96-9A6F-0C20502F8D48}" type="pres">
      <dgm:prSet presAssocID="{BBD56BCB-15B0-4A75-BEDC-10CEA9EB75B6}" presName="node" presStyleLbl="node1" presStyleIdx="8" presStyleCnt="10" custLinFactX="23132" custLinFactNeighborX="100000">
        <dgm:presLayoutVars>
          <dgm:bulletEnabled val="1"/>
        </dgm:presLayoutVars>
      </dgm:prSet>
      <dgm:spPr/>
      <dgm:t>
        <a:bodyPr/>
        <a:lstStyle/>
        <a:p>
          <a:endParaRPr lang="en-US"/>
        </a:p>
      </dgm:t>
    </dgm:pt>
    <dgm:pt modelId="{9075BD58-F2AC-4C16-A220-4C807C79D6DB}" type="pres">
      <dgm:prSet presAssocID="{EF1E943F-1A87-4C9C-B896-43E026130541}" presName="sibTrans" presStyleLbl="sibTrans1D1" presStyleIdx="8" presStyleCnt="9"/>
      <dgm:spPr/>
      <dgm:t>
        <a:bodyPr/>
        <a:lstStyle/>
        <a:p>
          <a:endParaRPr lang="en-US"/>
        </a:p>
      </dgm:t>
    </dgm:pt>
    <dgm:pt modelId="{F2D70B48-6091-4916-8008-996E09B4CB8E}" type="pres">
      <dgm:prSet presAssocID="{EF1E943F-1A87-4C9C-B896-43E026130541}" presName="connectorText" presStyleLbl="sibTrans1D1" presStyleIdx="8" presStyleCnt="9"/>
      <dgm:spPr/>
      <dgm:t>
        <a:bodyPr/>
        <a:lstStyle/>
        <a:p>
          <a:endParaRPr lang="en-US"/>
        </a:p>
      </dgm:t>
    </dgm:pt>
    <dgm:pt modelId="{A9E494D1-0245-4B96-83CD-6AB7EFD50F9E}" type="pres">
      <dgm:prSet presAssocID="{EEE9D1AD-3E43-4AE2-8D14-447514F919F0}" presName="node" presStyleLbl="node1" presStyleIdx="9" presStyleCnt="10" custLinFactX="24294" custLinFactNeighborX="100000" custLinFactNeighborY="-1">
        <dgm:presLayoutVars>
          <dgm:bulletEnabled val="1"/>
        </dgm:presLayoutVars>
      </dgm:prSet>
      <dgm:spPr/>
      <dgm:t>
        <a:bodyPr/>
        <a:lstStyle/>
        <a:p>
          <a:endParaRPr lang="en-US"/>
        </a:p>
      </dgm:t>
    </dgm:pt>
  </dgm:ptLst>
  <dgm:cxnLst>
    <dgm:cxn modelId="{4C32DE22-3C76-4C4D-A5CF-D991D95E8BDE}" type="presOf" srcId="{68DE40A2-F4D1-43DB-B4A1-18124EEC4DEB}" destId="{38BDEB44-467B-42F5-8D8D-04D37B1CC2DC}" srcOrd="1" destOrd="0" presId="urn:microsoft.com/office/officeart/2005/8/layout/bProcess3"/>
    <dgm:cxn modelId="{A0724A55-A105-41D5-BA42-D1B2F63788B6}" type="presOf" srcId="{C170584A-5DFB-48FC-99B5-48BF314B2C47}" destId="{EE39813A-87C4-48D6-BB4E-C58D3488EB90}" srcOrd="1" destOrd="0" presId="urn:microsoft.com/office/officeart/2005/8/layout/bProcess3"/>
    <dgm:cxn modelId="{3776169B-C011-47CB-B38F-70DADE49349D}" srcId="{8018874B-1901-4597-A592-A55F62C175FF}" destId="{378850F2-E665-4085-B257-B25B4981573F}" srcOrd="6" destOrd="0" parTransId="{3F45A0C7-0A4D-49CF-A507-630DDD8E5381}" sibTransId="{2047E5AF-EB3C-4541-BBEE-9DFE19B8526B}"/>
    <dgm:cxn modelId="{4C286765-9EA1-463A-B946-BFCFDE535E6D}" srcId="{8018874B-1901-4597-A592-A55F62C175FF}" destId="{FE35EF82-1C16-4D50-8001-D61B7CC72945}" srcOrd="5" destOrd="0" parTransId="{E05AD591-0F5D-4B98-B11A-F7E73060D09C}" sibTransId="{68DE40A2-F4D1-43DB-B4A1-18124EEC4DEB}"/>
    <dgm:cxn modelId="{D0A5912F-5CEC-4F8A-9956-317FCC5A8B40}" srcId="{8018874B-1901-4597-A592-A55F62C175FF}" destId="{F4A20DFB-BD14-4976-BF1F-3E638D714CBA}" srcOrd="1" destOrd="0" parTransId="{6BED993B-FA06-403A-B2AF-F92F0A1B9694}" sibTransId="{113CA7C1-6591-492D-A00C-7F7A39100EB8}"/>
    <dgm:cxn modelId="{9F7F6811-0115-4AE6-AECD-FDD884453D09}" type="presOf" srcId="{EEE9D1AD-3E43-4AE2-8D14-447514F919F0}" destId="{A9E494D1-0245-4B96-83CD-6AB7EFD50F9E}" srcOrd="0" destOrd="0" presId="urn:microsoft.com/office/officeart/2005/8/layout/bProcess3"/>
    <dgm:cxn modelId="{20B7D3ED-7D75-4115-8C1D-960B53E3EBED}" type="presOf" srcId="{5873874B-F244-443C-AE40-F32C99935CB1}" destId="{2022A5EC-DAE7-4787-86F2-C4D91BA2B2E4}" srcOrd="0" destOrd="0" presId="urn:microsoft.com/office/officeart/2005/8/layout/bProcess3"/>
    <dgm:cxn modelId="{37A558C2-4300-4123-8CA1-E9BEB6CD7D3E}" srcId="{8018874B-1901-4597-A592-A55F62C175FF}" destId="{C2E2E1BA-C234-42FD-8946-91E1BE3CF046}" srcOrd="7" destOrd="0" parTransId="{0AEC5282-46DD-4136-9A83-2F37B89B2A6B}" sibTransId="{D9DE9B2C-02BC-4169-A59D-B6C5E0E7A5E5}"/>
    <dgm:cxn modelId="{F70FF0E9-EA8B-4E91-92B5-33CB16D62F54}" type="presOf" srcId="{2047E5AF-EB3C-4541-BBEE-9DFE19B8526B}" destId="{13136952-D075-4D3B-A944-E7897D5705C5}" srcOrd="0" destOrd="0" presId="urn:microsoft.com/office/officeart/2005/8/layout/bProcess3"/>
    <dgm:cxn modelId="{DE24578C-347F-4F91-A8FF-6B468A1704BE}" type="presOf" srcId="{9D02CB57-0F15-41C9-9757-E7ECCFFAFCD2}" destId="{3C168FED-1A24-445E-8CAE-1DFD48D336FA}" srcOrd="1" destOrd="0" presId="urn:microsoft.com/office/officeart/2005/8/layout/bProcess3"/>
    <dgm:cxn modelId="{A532841E-38EA-47E3-99F9-2CD181EC6233}" type="presOf" srcId="{EF1E943F-1A87-4C9C-B896-43E026130541}" destId="{9075BD58-F2AC-4C16-A220-4C807C79D6DB}" srcOrd="0" destOrd="0" presId="urn:microsoft.com/office/officeart/2005/8/layout/bProcess3"/>
    <dgm:cxn modelId="{53FD3F9B-F7FC-488D-A253-85BB3024D11A}" type="presOf" srcId="{D9DE9B2C-02BC-4169-A59D-B6C5E0E7A5E5}" destId="{6B9D0C00-7022-4DED-8FBD-AA473A1D69C7}" srcOrd="1" destOrd="0" presId="urn:microsoft.com/office/officeart/2005/8/layout/bProcess3"/>
    <dgm:cxn modelId="{FEDB3B88-60C9-4EA5-8E63-71B88EB33204}" type="presOf" srcId="{3708981B-D6D0-405F-BED0-126EE29F9FBC}" destId="{4D8FB2C2-48B5-4CE1-945C-EB1717364CDD}" srcOrd="1" destOrd="0" presId="urn:microsoft.com/office/officeart/2005/8/layout/bProcess3"/>
    <dgm:cxn modelId="{9CAE964E-0757-40A8-870C-CB0A13968511}" type="presOf" srcId="{BBD56BCB-15B0-4A75-BEDC-10CEA9EB75B6}" destId="{DB0060EE-8BE3-4A96-9A6F-0C20502F8D48}" srcOrd="0" destOrd="0" presId="urn:microsoft.com/office/officeart/2005/8/layout/bProcess3"/>
    <dgm:cxn modelId="{BF9332BD-B294-4C52-99B2-FF17DD369DDC}" srcId="{8018874B-1901-4597-A592-A55F62C175FF}" destId="{259A558C-19B0-4BB8-92CA-6E318EEB5E67}" srcOrd="2" destOrd="0" parTransId="{71958C7E-E744-40E7-ABE0-8ED2E6F5209D}" sibTransId="{C170584A-5DFB-48FC-99B5-48BF314B2C47}"/>
    <dgm:cxn modelId="{56D4B8BE-B2A0-446F-A158-6D77856E49B4}" srcId="{8018874B-1901-4597-A592-A55F62C175FF}" destId="{7C8ABF2B-7DB2-4B30-9548-4D93EC862C5A}" srcOrd="3" destOrd="0" parTransId="{8B001C42-49B1-4819-86D8-716BB616BCB7}" sibTransId="{9D02CB57-0F15-41C9-9757-E7ECCFFAFCD2}"/>
    <dgm:cxn modelId="{0F4DD802-6AD4-419F-B0F1-25AE65191785}" type="presOf" srcId="{2047E5AF-EB3C-4541-BBEE-9DFE19B8526B}" destId="{C1CB8423-2DE1-4154-B464-373D5D37EEE2}" srcOrd="1" destOrd="0" presId="urn:microsoft.com/office/officeart/2005/8/layout/bProcess3"/>
    <dgm:cxn modelId="{136106E3-E201-4973-8E12-1889B2928D87}" type="presOf" srcId="{C170584A-5DFB-48FC-99B5-48BF314B2C47}" destId="{194BF217-FF6A-43C9-837A-B27015E04271}" srcOrd="0" destOrd="0" presId="urn:microsoft.com/office/officeart/2005/8/layout/bProcess3"/>
    <dgm:cxn modelId="{F0F6F42C-4E9F-4510-A8CD-07E08975DE10}" srcId="{8018874B-1901-4597-A592-A55F62C175FF}" destId="{EEE9D1AD-3E43-4AE2-8D14-447514F919F0}" srcOrd="9" destOrd="0" parTransId="{A422414B-B5DE-4E71-9ACB-2457750F8EDB}" sibTransId="{433F0AFA-AE75-4302-A9C7-DE783ED3A775}"/>
    <dgm:cxn modelId="{EE22ADF0-EA7D-442F-996A-E28D9CA8174E}" type="presOf" srcId="{68DE40A2-F4D1-43DB-B4A1-18124EEC4DEB}" destId="{C56818BB-83D6-4A59-AB78-52D7BF5B7542}" srcOrd="0" destOrd="0" presId="urn:microsoft.com/office/officeart/2005/8/layout/bProcess3"/>
    <dgm:cxn modelId="{5D92B37A-4F75-4443-8084-95011B99CFF4}" type="presOf" srcId="{D9DE9B2C-02BC-4169-A59D-B6C5E0E7A5E5}" destId="{7F6A7D66-819C-4272-89D9-46DD14E843B1}" srcOrd="0" destOrd="0" presId="urn:microsoft.com/office/officeart/2005/8/layout/bProcess3"/>
    <dgm:cxn modelId="{2542C644-44B9-4C40-916B-63A079620668}" type="presOf" srcId="{FE35EF82-1C16-4D50-8001-D61B7CC72945}" destId="{E0BA3037-A004-49B5-8C3B-9F21D6829C48}" srcOrd="0" destOrd="0" presId="urn:microsoft.com/office/officeart/2005/8/layout/bProcess3"/>
    <dgm:cxn modelId="{BBC64747-19BA-43C6-9101-CD113C7DD811}" type="presOf" srcId="{9D02CB57-0F15-41C9-9757-E7ECCFFAFCD2}" destId="{7CD5D5DE-EC97-42A2-9BBD-ECAE893A48E3}" srcOrd="0" destOrd="0" presId="urn:microsoft.com/office/officeart/2005/8/layout/bProcess3"/>
    <dgm:cxn modelId="{A73B55D0-C19E-4797-9304-45F98015FB53}" type="presOf" srcId="{5873874B-F244-443C-AE40-F32C99935CB1}" destId="{FC4A8656-65EC-43AE-BCFC-04D3BF2E6E37}" srcOrd="1" destOrd="0" presId="urn:microsoft.com/office/officeart/2005/8/layout/bProcess3"/>
    <dgm:cxn modelId="{43C926A4-6404-48FB-B4CA-EAC4AE2077EB}" type="presOf" srcId="{F4A20DFB-BD14-4976-BF1F-3E638D714CBA}" destId="{238E348A-7373-486E-8D50-F150B66ED430}" srcOrd="0" destOrd="0" presId="urn:microsoft.com/office/officeart/2005/8/layout/bProcess3"/>
    <dgm:cxn modelId="{9EDF5719-F1A2-4E31-AC2A-D963715E45B5}" srcId="{8018874B-1901-4597-A592-A55F62C175FF}" destId="{BBD56BCB-15B0-4A75-BEDC-10CEA9EB75B6}" srcOrd="8" destOrd="0" parTransId="{2AA308FF-0DD1-46C1-A9FD-3EF6EDD52F93}" sibTransId="{EF1E943F-1A87-4C9C-B896-43E026130541}"/>
    <dgm:cxn modelId="{B3D0554D-A420-45CC-B991-FBF370AFA3D7}" type="presOf" srcId="{259A558C-19B0-4BB8-92CA-6E318EEB5E67}" destId="{8D3497A9-D13A-4EE7-8673-8F532CC394D8}" srcOrd="0" destOrd="0" presId="urn:microsoft.com/office/officeart/2005/8/layout/bProcess3"/>
    <dgm:cxn modelId="{AE2BE81E-63EE-4AF4-9611-55F7CEB8B0D9}" type="presOf" srcId="{8018874B-1901-4597-A592-A55F62C175FF}" destId="{BF663F3D-86AF-46D8-9F13-CACC66052415}" srcOrd="0" destOrd="0" presId="urn:microsoft.com/office/officeart/2005/8/layout/bProcess3"/>
    <dgm:cxn modelId="{4683F367-AF84-4841-8B7D-041B7C59A557}" type="presOf" srcId="{190F63B6-96C6-4412-A59A-6DD1023D9C0E}" destId="{BD393E2C-4063-4D0A-9058-06646357F279}" srcOrd="0" destOrd="0" presId="urn:microsoft.com/office/officeart/2005/8/layout/bProcess3"/>
    <dgm:cxn modelId="{EBA19FA2-E0DB-4255-86E7-53875F206BC4}" type="presOf" srcId="{378850F2-E665-4085-B257-B25B4981573F}" destId="{7665B1EA-6F7A-4C81-BD6B-CB5373641450}" srcOrd="0" destOrd="0" presId="urn:microsoft.com/office/officeart/2005/8/layout/bProcess3"/>
    <dgm:cxn modelId="{AE7937C7-16EC-425C-8157-15C5D330C889}" type="presOf" srcId="{7C8ABF2B-7DB2-4B30-9548-4D93EC862C5A}" destId="{D4731EAB-626E-4466-B4B8-CCE97B01E290}" srcOrd="0" destOrd="0" presId="urn:microsoft.com/office/officeart/2005/8/layout/bProcess3"/>
    <dgm:cxn modelId="{680C4F82-039E-4B54-A2FB-DA5BA03E83DC}" type="presOf" srcId="{3708981B-D6D0-405F-BED0-126EE29F9FBC}" destId="{62F300CD-00AD-4BE3-B1C5-A447446A31D4}" srcOrd="0" destOrd="0" presId="urn:microsoft.com/office/officeart/2005/8/layout/bProcess3"/>
    <dgm:cxn modelId="{126E7C1F-25F3-4990-AFCA-CA2936F47F85}" type="presOf" srcId="{37AFDD02-FD50-41D3-8A8B-4045CBE2470A}" destId="{49F6E98B-AAB0-4761-ADE5-F2D5D0820341}" srcOrd="0" destOrd="0" presId="urn:microsoft.com/office/officeart/2005/8/layout/bProcess3"/>
    <dgm:cxn modelId="{99D01756-C447-473E-8AE1-E93888F68645}" type="presOf" srcId="{113CA7C1-6591-492D-A00C-7F7A39100EB8}" destId="{E80FA827-AC6E-46BF-8468-10C08F18EB2E}" srcOrd="0" destOrd="0" presId="urn:microsoft.com/office/officeart/2005/8/layout/bProcess3"/>
    <dgm:cxn modelId="{7355CD56-E2BD-4B17-87C8-87A02D4602DE}" type="presOf" srcId="{C2E2E1BA-C234-42FD-8946-91E1BE3CF046}" destId="{ABC9F4BF-2856-4462-BF1F-788BE068556B}" srcOrd="0" destOrd="0" presId="urn:microsoft.com/office/officeart/2005/8/layout/bProcess3"/>
    <dgm:cxn modelId="{50795059-DC0B-4CD8-ABF2-08CCAE7D7481}" type="presOf" srcId="{113CA7C1-6591-492D-A00C-7F7A39100EB8}" destId="{BB00EDEF-2441-4AD1-BE3C-78F66F43C5BE}" srcOrd="1" destOrd="0" presId="urn:microsoft.com/office/officeart/2005/8/layout/bProcess3"/>
    <dgm:cxn modelId="{C937D77D-1072-45C1-9ADB-1D3C240C8FC4}" type="presOf" srcId="{EF1E943F-1A87-4C9C-B896-43E026130541}" destId="{F2D70B48-6091-4916-8008-996E09B4CB8E}" srcOrd="1" destOrd="0" presId="urn:microsoft.com/office/officeart/2005/8/layout/bProcess3"/>
    <dgm:cxn modelId="{EABA1435-240A-45B0-9594-0DFCB40FE533}" srcId="{8018874B-1901-4597-A592-A55F62C175FF}" destId="{37AFDD02-FD50-41D3-8A8B-4045CBE2470A}" srcOrd="0" destOrd="0" parTransId="{372617D9-93DF-40A7-A4BC-165C34B7AB0C}" sibTransId="{3708981B-D6D0-405F-BED0-126EE29F9FBC}"/>
    <dgm:cxn modelId="{E3D69650-FCAE-4746-841A-6630B8812440}" srcId="{8018874B-1901-4597-A592-A55F62C175FF}" destId="{190F63B6-96C6-4412-A59A-6DD1023D9C0E}" srcOrd="4" destOrd="0" parTransId="{BFC47742-0B59-43F2-9C5A-954D7D9B9B01}" sibTransId="{5873874B-F244-443C-AE40-F32C99935CB1}"/>
    <dgm:cxn modelId="{47E90070-E1B6-4BA8-AEC3-5B085D4711E9}" type="presParOf" srcId="{BF663F3D-86AF-46D8-9F13-CACC66052415}" destId="{49F6E98B-AAB0-4761-ADE5-F2D5D0820341}" srcOrd="0" destOrd="0" presId="urn:microsoft.com/office/officeart/2005/8/layout/bProcess3"/>
    <dgm:cxn modelId="{70C29DA8-F20F-4DBC-AEC0-B4EA0C634E54}" type="presParOf" srcId="{BF663F3D-86AF-46D8-9F13-CACC66052415}" destId="{62F300CD-00AD-4BE3-B1C5-A447446A31D4}" srcOrd="1" destOrd="0" presId="urn:microsoft.com/office/officeart/2005/8/layout/bProcess3"/>
    <dgm:cxn modelId="{6AB39FD5-782E-4BB0-94E8-084D52EAF816}" type="presParOf" srcId="{62F300CD-00AD-4BE3-B1C5-A447446A31D4}" destId="{4D8FB2C2-48B5-4CE1-945C-EB1717364CDD}" srcOrd="0" destOrd="0" presId="urn:microsoft.com/office/officeart/2005/8/layout/bProcess3"/>
    <dgm:cxn modelId="{302738F6-E4AE-4EBE-920A-9CF35265B73A}" type="presParOf" srcId="{BF663F3D-86AF-46D8-9F13-CACC66052415}" destId="{238E348A-7373-486E-8D50-F150B66ED430}" srcOrd="2" destOrd="0" presId="urn:microsoft.com/office/officeart/2005/8/layout/bProcess3"/>
    <dgm:cxn modelId="{FF9DBFE4-359D-4169-BEE8-A8FD6791C3FD}" type="presParOf" srcId="{BF663F3D-86AF-46D8-9F13-CACC66052415}" destId="{E80FA827-AC6E-46BF-8468-10C08F18EB2E}" srcOrd="3" destOrd="0" presId="urn:microsoft.com/office/officeart/2005/8/layout/bProcess3"/>
    <dgm:cxn modelId="{EF5FBEC8-BE98-49B3-93F7-8ECBD74D32E5}" type="presParOf" srcId="{E80FA827-AC6E-46BF-8468-10C08F18EB2E}" destId="{BB00EDEF-2441-4AD1-BE3C-78F66F43C5BE}" srcOrd="0" destOrd="0" presId="urn:microsoft.com/office/officeart/2005/8/layout/bProcess3"/>
    <dgm:cxn modelId="{51AA90AD-9B9D-4F30-9C69-4C8C59BBAF2C}" type="presParOf" srcId="{BF663F3D-86AF-46D8-9F13-CACC66052415}" destId="{8D3497A9-D13A-4EE7-8673-8F532CC394D8}" srcOrd="4" destOrd="0" presId="urn:microsoft.com/office/officeart/2005/8/layout/bProcess3"/>
    <dgm:cxn modelId="{899BA5DA-D0F6-4696-B9CC-DB2D32C65DFD}" type="presParOf" srcId="{BF663F3D-86AF-46D8-9F13-CACC66052415}" destId="{194BF217-FF6A-43C9-837A-B27015E04271}" srcOrd="5" destOrd="0" presId="urn:microsoft.com/office/officeart/2005/8/layout/bProcess3"/>
    <dgm:cxn modelId="{CAAA80E2-4ED8-488D-84F9-880241A54099}" type="presParOf" srcId="{194BF217-FF6A-43C9-837A-B27015E04271}" destId="{EE39813A-87C4-48D6-BB4E-C58D3488EB90}" srcOrd="0" destOrd="0" presId="urn:microsoft.com/office/officeart/2005/8/layout/bProcess3"/>
    <dgm:cxn modelId="{B7A484E6-3094-4F14-BCBE-3FF0FC233C27}" type="presParOf" srcId="{BF663F3D-86AF-46D8-9F13-CACC66052415}" destId="{D4731EAB-626E-4466-B4B8-CCE97B01E290}" srcOrd="6" destOrd="0" presId="urn:microsoft.com/office/officeart/2005/8/layout/bProcess3"/>
    <dgm:cxn modelId="{4018A797-D6E3-4111-A633-F3294AA11F7F}" type="presParOf" srcId="{BF663F3D-86AF-46D8-9F13-CACC66052415}" destId="{7CD5D5DE-EC97-42A2-9BBD-ECAE893A48E3}" srcOrd="7" destOrd="0" presId="urn:microsoft.com/office/officeart/2005/8/layout/bProcess3"/>
    <dgm:cxn modelId="{07F7A667-7F9E-42DE-B749-F6DCA299E46A}" type="presParOf" srcId="{7CD5D5DE-EC97-42A2-9BBD-ECAE893A48E3}" destId="{3C168FED-1A24-445E-8CAE-1DFD48D336FA}" srcOrd="0" destOrd="0" presId="urn:microsoft.com/office/officeart/2005/8/layout/bProcess3"/>
    <dgm:cxn modelId="{DB052FDC-C9A2-4CB9-9AE2-0927A0FD8FC9}" type="presParOf" srcId="{BF663F3D-86AF-46D8-9F13-CACC66052415}" destId="{BD393E2C-4063-4D0A-9058-06646357F279}" srcOrd="8" destOrd="0" presId="urn:microsoft.com/office/officeart/2005/8/layout/bProcess3"/>
    <dgm:cxn modelId="{29EF4137-B85C-4350-A777-6AECDDDB2CEE}" type="presParOf" srcId="{BF663F3D-86AF-46D8-9F13-CACC66052415}" destId="{2022A5EC-DAE7-4787-86F2-C4D91BA2B2E4}" srcOrd="9" destOrd="0" presId="urn:microsoft.com/office/officeart/2005/8/layout/bProcess3"/>
    <dgm:cxn modelId="{C80074F6-7E81-4BED-99E6-C6332D392713}" type="presParOf" srcId="{2022A5EC-DAE7-4787-86F2-C4D91BA2B2E4}" destId="{FC4A8656-65EC-43AE-BCFC-04D3BF2E6E37}" srcOrd="0" destOrd="0" presId="urn:microsoft.com/office/officeart/2005/8/layout/bProcess3"/>
    <dgm:cxn modelId="{EDACF6B1-91CC-41DD-B5CC-CE6D6889952D}" type="presParOf" srcId="{BF663F3D-86AF-46D8-9F13-CACC66052415}" destId="{E0BA3037-A004-49B5-8C3B-9F21D6829C48}" srcOrd="10" destOrd="0" presId="urn:microsoft.com/office/officeart/2005/8/layout/bProcess3"/>
    <dgm:cxn modelId="{20B038E1-272A-4563-9700-BA0956A47900}" type="presParOf" srcId="{BF663F3D-86AF-46D8-9F13-CACC66052415}" destId="{C56818BB-83D6-4A59-AB78-52D7BF5B7542}" srcOrd="11" destOrd="0" presId="urn:microsoft.com/office/officeart/2005/8/layout/bProcess3"/>
    <dgm:cxn modelId="{43B540FA-7667-4164-B120-F986243F8FCB}" type="presParOf" srcId="{C56818BB-83D6-4A59-AB78-52D7BF5B7542}" destId="{38BDEB44-467B-42F5-8D8D-04D37B1CC2DC}" srcOrd="0" destOrd="0" presId="urn:microsoft.com/office/officeart/2005/8/layout/bProcess3"/>
    <dgm:cxn modelId="{35628F83-5F68-4883-8879-91A433047560}" type="presParOf" srcId="{BF663F3D-86AF-46D8-9F13-CACC66052415}" destId="{7665B1EA-6F7A-4C81-BD6B-CB5373641450}" srcOrd="12" destOrd="0" presId="urn:microsoft.com/office/officeart/2005/8/layout/bProcess3"/>
    <dgm:cxn modelId="{EA073410-DC3B-4E69-9EB3-F88A00B8F069}" type="presParOf" srcId="{BF663F3D-86AF-46D8-9F13-CACC66052415}" destId="{13136952-D075-4D3B-A944-E7897D5705C5}" srcOrd="13" destOrd="0" presId="urn:microsoft.com/office/officeart/2005/8/layout/bProcess3"/>
    <dgm:cxn modelId="{E191925F-EDD0-4605-96AC-CC61F263FFB8}" type="presParOf" srcId="{13136952-D075-4D3B-A944-E7897D5705C5}" destId="{C1CB8423-2DE1-4154-B464-373D5D37EEE2}" srcOrd="0" destOrd="0" presId="urn:microsoft.com/office/officeart/2005/8/layout/bProcess3"/>
    <dgm:cxn modelId="{399F8B28-5417-4AF7-8EBD-A6BDD1278BCD}" type="presParOf" srcId="{BF663F3D-86AF-46D8-9F13-CACC66052415}" destId="{ABC9F4BF-2856-4462-BF1F-788BE068556B}" srcOrd="14" destOrd="0" presId="urn:microsoft.com/office/officeart/2005/8/layout/bProcess3"/>
    <dgm:cxn modelId="{1798A8FF-A12F-4C8C-9387-35D0E4997CCA}" type="presParOf" srcId="{BF663F3D-86AF-46D8-9F13-CACC66052415}" destId="{7F6A7D66-819C-4272-89D9-46DD14E843B1}" srcOrd="15" destOrd="0" presId="urn:microsoft.com/office/officeart/2005/8/layout/bProcess3"/>
    <dgm:cxn modelId="{B48F72E8-70E1-4FAF-812E-730396A586D7}" type="presParOf" srcId="{7F6A7D66-819C-4272-89D9-46DD14E843B1}" destId="{6B9D0C00-7022-4DED-8FBD-AA473A1D69C7}" srcOrd="0" destOrd="0" presId="urn:microsoft.com/office/officeart/2005/8/layout/bProcess3"/>
    <dgm:cxn modelId="{1373CED2-1E13-4B88-A595-7BE43951375A}" type="presParOf" srcId="{BF663F3D-86AF-46D8-9F13-CACC66052415}" destId="{DB0060EE-8BE3-4A96-9A6F-0C20502F8D48}" srcOrd="16" destOrd="0" presId="urn:microsoft.com/office/officeart/2005/8/layout/bProcess3"/>
    <dgm:cxn modelId="{0EB944A2-FF9A-4453-8A89-D95EEF81A661}" type="presParOf" srcId="{BF663F3D-86AF-46D8-9F13-CACC66052415}" destId="{9075BD58-F2AC-4C16-A220-4C807C79D6DB}" srcOrd="17" destOrd="0" presId="urn:microsoft.com/office/officeart/2005/8/layout/bProcess3"/>
    <dgm:cxn modelId="{23F3586A-5BE3-4686-8EAF-A3C99125B4C3}" type="presParOf" srcId="{9075BD58-F2AC-4C16-A220-4C807C79D6DB}" destId="{F2D70B48-6091-4916-8008-996E09B4CB8E}" srcOrd="0" destOrd="0" presId="urn:microsoft.com/office/officeart/2005/8/layout/bProcess3"/>
    <dgm:cxn modelId="{9CC7C269-8C76-42EF-9966-A82D95DB533E}" type="presParOf" srcId="{BF663F3D-86AF-46D8-9F13-CACC66052415}" destId="{A9E494D1-0245-4B96-83CD-6AB7EFD50F9E}" srcOrd="18" destOrd="0" presId="urn:microsoft.com/office/officeart/2005/8/layout/b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F300CD-00AD-4BE3-B1C5-A447446A31D4}">
      <dsp:nvSpPr>
        <dsp:cNvPr id="0" name=""/>
        <dsp:cNvSpPr/>
      </dsp:nvSpPr>
      <dsp:spPr>
        <a:xfrm>
          <a:off x="1168634" y="583925"/>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81084" y="628300"/>
        <a:ext cx="13447" cy="2689"/>
      </dsp:txXfrm>
    </dsp:sp>
    <dsp:sp modelId="{49F6E98B-AAB0-4761-ADE5-F2D5D0820341}">
      <dsp:nvSpPr>
        <dsp:cNvPr id="0" name=""/>
        <dsp:cNvSpPr/>
      </dsp:nvSpPr>
      <dsp:spPr>
        <a:xfrm>
          <a:off x="1091" y="278842"/>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i="1" kern="1200"/>
            <a:t>Part 1: Fermentation</a:t>
          </a:r>
        </a:p>
      </dsp:txBody>
      <dsp:txXfrm>
        <a:off x="1091" y="278842"/>
        <a:ext cx="1169342" cy="701605"/>
      </dsp:txXfrm>
    </dsp:sp>
    <dsp:sp modelId="{E80FA827-AC6E-46BF-8468-10C08F18EB2E}">
      <dsp:nvSpPr>
        <dsp:cNvPr id="0" name=""/>
        <dsp:cNvSpPr/>
      </dsp:nvSpPr>
      <dsp:spPr>
        <a:xfrm>
          <a:off x="2606925" y="583925"/>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19376" y="628300"/>
        <a:ext cx="13447" cy="2689"/>
      </dsp:txXfrm>
    </dsp:sp>
    <dsp:sp modelId="{238E348A-7373-486E-8D50-F150B66ED430}">
      <dsp:nvSpPr>
        <dsp:cNvPr id="0" name=""/>
        <dsp:cNvSpPr/>
      </dsp:nvSpPr>
      <dsp:spPr>
        <a:xfrm>
          <a:off x="1439383" y="278842"/>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Inoculation</a:t>
          </a:r>
        </a:p>
      </dsp:txBody>
      <dsp:txXfrm>
        <a:off x="1439383" y="278842"/>
        <a:ext cx="1169342" cy="701605"/>
      </dsp:txXfrm>
    </dsp:sp>
    <dsp:sp modelId="{194BF217-FF6A-43C9-837A-B27015E04271}">
      <dsp:nvSpPr>
        <dsp:cNvPr id="0" name=""/>
        <dsp:cNvSpPr/>
      </dsp:nvSpPr>
      <dsp:spPr>
        <a:xfrm>
          <a:off x="4045216" y="583925"/>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57667" y="628300"/>
        <a:ext cx="13447" cy="2689"/>
      </dsp:txXfrm>
    </dsp:sp>
    <dsp:sp modelId="{8D3497A9-D13A-4EE7-8673-8F532CC394D8}">
      <dsp:nvSpPr>
        <dsp:cNvPr id="0" name=""/>
        <dsp:cNvSpPr/>
      </dsp:nvSpPr>
      <dsp:spPr>
        <a:xfrm>
          <a:off x="2877674" y="278842"/>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Seed fermentation</a:t>
          </a:r>
        </a:p>
      </dsp:txBody>
      <dsp:txXfrm>
        <a:off x="2877674" y="278842"/>
        <a:ext cx="1169342" cy="701605"/>
      </dsp:txXfrm>
    </dsp:sp>
    <dsp:sp modelId="{7CD5D5DE-EC97-42A2-9BBD-ECAE893A48E3}">
      <dsp:nvSpPr>
        <dsp:cNvPr id="0" name=""/>
        <dsp:cNvSpPr/>
      </dsp:nvSpPr>
      <dsp:spPr>
        <a:xfrm>
          <a:off x="585762" y="978648"/>
          <a:ext cx="4314874" cy="238348"/>
        </a:xfrm>
        <a:custGeom>
          <a:avLst/>
          <a:gdLst/>
          <a:ahLst/>
          <a:cxnLst/>
          <a:rect l="0" t="0" r="0" b="0"/>
          <a:pathLst>
            <a:path>
              <a:moveTo>
                <a:pt x="4314874" y="0"/>
              </a:moveTo>
              <a:lnTo>
                <a:pt x="4314874" y="136274"/>
              </a:lnTo>
              <a:lnTo>
                <a:pt x="0" y="136274"/>
              </a:lnTo>
              <a:lnTo>
                <a:pt x="0" y="23834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35118" y="1096478"/>
        <a:ext cx="216162" cy="2689"/>
      </dsp:txXfrm>
    </dsp:sp>
    <dsp:sp modelId="{D4731EAB-626E-4466-B4B8-CCE97B01E290}">
      <dsp:nvSpPr>
        <dsp:cNvPr id="0" name=""/>
        <dsp:cNvSpPr/>
      </dsp:nvSpPr>
      <dsp:spPr>
        <a:xfrm>
          <a:off x="4315965" y="278842"/>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Main fermentation</a:t>
          </a:r>
        </a:p>
      </dsp:txBody>
      <dsp:txXfrm>
        <a:off x="4315965" y="278842"/>
        <a:ext cx="1169342" cy="701605"/>
      </dsp:txXfrm>
    </dsp:sp>
    <dsp:sp modelId="{2022A5EC-DAE7-4787-86F2-C4D91BA2B2E4}">
      <dsp:nvSpPr>
        <dsp:cNvPr id="0" name=""/>
        <dsp:cNvSpPr/>
      </dsp:nvSpPr>
      <dsp:spPr>
        <a:xfrm>
          <a:off x="1168634" y="1554480"/>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81084" y="1598855"/>
        <a:ext cx="13447" cy="2689"/>
      </dsp:txXfrm>
    </dsp:sp>
    <dsp:sp modelId="{BD393E2C-4063-4D0A-9058-06646357F279}">
      <dsp:nvSpPr>
        <dsp:cNvPr id="0" name=""/>
        <dsp:cNvSpPr/>
      </dsp:nvSpPr>
      <dsp:spPr>
        <a:xfrm>
          <a:off x="1091" y="1249397"/>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i="1" kern="1200"/>
            <a:t>Part 2: Recovery</a:t>
          </a:r>
        </a:p>
      </dsp:txBody>
      <dsp:txXfrm>
        <a:off x="1091" y="1249397"/>
        <a:ext cx="1169342" cy="701605"/>
      </dsp:txXfrm>
    </dsp:sp>
    <dsp:sp modelId="{C56818BB-83D6-4A59-AB78-52D7BF5B7542}">
      <dsp:nvSpPr>
        <dsp:cNvPr id="0" name=""/>
        <dsp:cNvSpPr/>
      </dsp:nvSpPr>
      <dsp:spPr>
        <a:xfrm>
          <a:off x="2606925" y="1554480"/>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19376" y="1598855"/>
        <a:ext cx="13447" cy="2689"/>
      </dsp:txXfrm>
    </dsp:sp>
    <dsp:sp modelId="{E0BA3037-A004-49B5-8C3B-9F21D6829C48}">
      <dsp:nvSpPr>
        <dsp:cNvPr id="0" name=""/>
        <dsp:cNvSpPr/>
      </dsp:nvSpPr>
      <dsp:spPr>
        <a:xfrm>
          <a:off x="1439383" y="1249397"/>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Pre-treatment</a:t>
          </a:r>
        </a:p>
      </dsp:txBody>
      <dsp:txXfrm>
        <a:off x="1439383" y="1249397"/>
        <a:ext cx="1169342" cy="701605"/>
      </dsp:txXfrm>
    </dsp:sp>
    <dsp:sp modelId="{13136952-D075-4D3B-A944-E7897D5705C5}">
      <dsp:nvSpPr>
        <dsp:cNvPr id="0" name=""/>
        <dsp:cNvSpPr/>
      </dsp:nvSpPr>
      <dsp:spPr>
        <a:xfrm>
          <a:off x="4045216" y="1554480"/>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57667" y="1598855"/>
        <a:ext cx="13447" cy="2689"/>
      </dsp:txXfrm>
    </dsp:sp>
    <dsp:sp modelId="{7665B1EA-6F7A-4C81-BD6B-CB5373641450}">
      <dsp:nvSpPr>
        <dsp:cNvPr id="0" name=""/>
        <dsp:cNvSpPr/>
      </dsp:nvSpPr>
      <dsp:spPr>
        <a:xfrm>
          <a:off x="2877674" y="1249397"/>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Primary separation</a:t>
          </a:r>
        </a:p>
      </dsp:txBody>
      <dsp:txXfrm>
        <a:off x="2877674" y="1249397"/>
        <a:ext cx="1169342" cy="701605"/>
      </dsp:txXfrm>
    </dsp:sp>
    <dsp:sp modelId="{7F6A7D66-819C-4272-89D9-46DD14E843B1}">
      <dsp:nvSpPr>
        <dsp:cNvPr id="0" name=""/>
        <dsp:cNvSpPr/>
      </dsp:nvSpPr>
      <dsp:spPr>
        <a:xfrm>
          <a:off x="2025597" y="1949202"/>
          <a:ext cx="2875039" cy="238348"/>
        </a:xfrm>
        <a:custGeom>
          <a:avLst/>
          <a:gdLst/>
          <a:ahLst/>
          <a:cxnLst/>
          <a:rect l="0" t="0" r="0" b="0"/>
          <a:pathLst>
            <a:path>
              <a:moveTo>
                <a:pt x="2875039" y="0"/>
              </a:moveTo>
              <a:lnTo>
                <a:pt x="2875039" y="136274"/>
              </a:lnTo>
              <a:lnTo>
                <a:pt x="0" y="136274"/>
              </a:lnTo>
              <a:lnTo>
                <a:pt x="0" y="23834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90927" y="2067032"/>
        <a:ext cx="144379" cy="2689"/>
      </dsp:txXfrm>
    </dsp:sp>
    <dsp:sp modelId="{ABC9F4BF-2856-4462-BF1F-788BE068556B}">
      <dsp:nvSpPr>
        <dsp:cNvPr id="0" name=""/>
        <dsp:cNvSpPr/>
      </dsp:nvSpPr>
      <dsp:spPr>
        <a:xfrm>
          <a:off x="4315965" y="1249397"/>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Filtration</a:t>
          </a:r>
        </a:p>
      </dsp:txBody>
      <dsp:txXfrm>
        <a:off x="4315965" y="1249397"/>
        <a:ext cx="1169342" cy="701605"/>
      </dsp:txXfrm>
    </dsp:sp>
    <dsp:sp modelId="{9075BD58-F2AC-4C16-A220-4C807C79D6DB}">
      <dsp:nvSpPr>
        <dsp:cNvPr id="0" name=""/>
        <dsp:cNvSpPr/>
      </dsp:nvSpPr>
      <dsp:spPr>
        <a:xfrm>
          <a:off x="2608469" y="2525027"/>
          <a:ext cx="251936" cy="91440"/>
        </a:xfrm>
        <a:custGeom>
          <a:avLst/>
          <a:gdLst/>
          <a:ahLst/>
          <a:cxnLst/>
          <a:rect l="0" t="0" r="0" b="0"/>
          <a:pathLst>
            <a:path>
              <a:moveTo>
                <a:pt x="0" y="45727"/>
              </a:moveTo>
              <a:lnTo>
                <a:pt x="143068" y="45727"/>
              </a:lnTo>
              <a:lnTo>
                <a:pt x="143068" y="45720"/>
              </a:lnTo>
              <a:lnTo>
                <a:pt x="25193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27373" y="2569402"/>
        <a:ext cx="14126" cy="2689"/>
      </dsp:txXfrm>
    </dsp:sp>
    <dsp:sp modelId="{DB0060EE-8BE3-4A96-9A6F-0C20502F8D48}">
      <dsp:nvSpPr>
        <dsp:cNvPr id="0" name=""/>
        <dsp:cNvSpPr/>
      </dsp:nvSpPr>
      <dsp:spPr>
        <a:xfrm>
          <a:off x="1440926" y="2219951"/>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Concentration</a:t>
          </a:r>
        </a:p>
      </dsp:txBody>
      <dsp:txXfrm>
        <a:off x="1440926" y="2219951"/>
        <a:ext cx="1169342" cy="701605"/>
      </dsp:txXfrm>
    </dsp:sp>
    <dsp:sp modelId="{A9E494D1-0245-4B96-83CD-6AB7EFD50F9E}">
      <dsp:nvSpPr>
        <dsp:cNvPr id="0" name=""/>
        <dsp:cNvSpPr/>
      </dsp:nvSpPr>
      <dsp:spPr>
        <a:xfrm>
          <a:off x="2892805" y="2219944"/>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0" i="0" kern="1200"/>
            <a:t>Stabilisation and preservation</a:t>
          </a:r>
        </a:p>
      </dsp:txBody>
      <dsp:txXfrm>
        <a:off x="2892805" y="2219944"/>
        <a:ext cx="1169342" cy="70160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46A6BFCAFF41A48B1521F635017CDE6" ma:contentTypeVersion="45" ma:contentTypeDescription="FSANZ Record" ma:contentTypeScope="" ma:versionID="1ee5e3fb236b6854da1ca1a9d51ef239">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01df3bc849db87217bceafe434220394"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C00B-31A2-47F8-AB10-A6082922B2B5}"/>
</file>

<file path=customXml/itemProps2.xml><?xml version="1.0" encoding="utf-8"?>
<ds:datastoreItem xmlns:ds="http://schemas.openxmlformats.org/officeDocument/2006/customXml" ds:itemID="{22007E98-E3D6-4449-8F5D-92A4FA080364}"/>
</file>

<file path=customXml/itemProps3.xml><?xml version="1.0" encoding="utf-8"?>
<ds:datastoreItem xmlns:ds="http://schemas.openxmlformats.org/officeDocument/2006/customXml" ds:itemID="{C882F2B3-974F-4315-9ED9-0369F9C6D66C}"/>
</file>

<file path=customXml/itemProps4.xml><?xml version="1.0" encoding="utf-8"?>
<ds:datastoreItem xmlns:ds="http://schemas.openxmlformats.org/officeDocument/2006/customXml" ds:itemID="{840AD9F1-851C-48C5-AD59-ECB9BA005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E5464E-6E43-4A94-9E9A-DC1D7A506B71}">
  <ds:schemaRefs>
    <ds:schemaRef ds:uri="Microsoft.SharePoint.Taxonomy.ContentTypeSync"/>
  </ds:schemaRefs>
</ds:datastoreItem>
</file>

<file path=customXml/itemProps6.xml><?xml version="1.0" encoding="utf-8"?>
<ds:datastoreItem xmlns:ds="http://schemas.openxmlformats.org/officeDocument/2006/customXml" ds:itemID="{6C4A6D91-0D24-4B9F-8EFC-F082619E6BD0}"/>
</file>

<file path=customXml/itemProps7.xml><?xml version="1.0" encoding="utf-8"?>
<ds:datastoreItem xmlns:ds="http://schemas.openxmlformats.org/officeDocument/2006/customXml" ds:itemID="{E4F8AB4F-70BC-4E95-B1CE-DDD73ECBF0E1}"/>
</file>

<file path=customXml/itemProps8.xml><?xml version="1.0" encoding="utf-8"?>
<ds:datastoreItem xmlns:ds="http://schemas.openxmlformats.org/officeDocument/2006/customXml" ds:itemID="{FF0B08D2-E480-4C6F-8550-49E1A36A5F75}"/>
</file>

<file path=docProps/app.xml><?xml version="1.0" encoding="utf-8"?>
<Properties xmlns="http://schemas.openxmlformats.org/officeDocument/2006/extended-properties" xmlns:vt="http://schemas.openxmlformats.org/officeDocument/2006/docPropsVTypes">
  <Template>Normal</Template>
  <TotalTime>2</TotalTime>
  <Pages>1</Pages>
  <Words>6786</Words>
  <Characters>38681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45377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trevil</dc:creator>
  <cp:keywords/>
  <dc:description/>
  <cp:lastModifiedBy>coughc</cp:lastModifiedBy>
  <cp:revision>4</cp:revision>
  <cp:lastPrinted>2018-08-08T22:17:00Z</cp:lastPrinted>
  <dcterms:created xsi:type="dcterms:W3CDTF">2019-04-30T23:11:00Z</dcterms:created>
  <dcterms:modified xsi:type="dcterms:W3CDTF">2019-05-09T03:01:00Z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4cf7b909-b93e-4a58-9b9a-d47bc59b4815</vt:lpwstr>
  </property>
  <property fmtid="{D5CDD505-2E9C-101B-9397-08002B2CF9AE}" pid="3" name="bjSaver">
    <vt:lpwstr>mhrlfEW7b9k68ds2IFR69UD4CsNiGzlo</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uid="a68a5297-83bb-4ba8-a7cd-4b62d6981a77" value="" /&gt;&lt;/sisl&gt;</vt:lpwstr>
  </property>
  <property fmtid="{D5CDD505-2E9C-101B-9397-08002B2CF9AE}" pid="6" name="ContentTypeId">
    <vt:lpwstr>0x010100CB2FFA9FD6109347A9495CD5860AFAE6</vt:lpwstr>
  </property>
  <property fmtid="{D5CDD505-2E9C-101B-9397-08002B2CF9AE}" pid="7" name="DisposalClass">
    <vt:lpwstr/>
  </property>
  <property fmtid="{D5CDD505-2E9C-101B-9397-08002B2CF9AE}" pid="8" name="BCS_">
    <vt:lpwstr>40;#FOOD STANDARDS:Evaluation|43bd8487-b9f6-4055-946c-a118d364275d</vt:lpwstr>
  </property>
  <property fmtid="{D5CDD505-2E9C-101B-9397-08002B2CF9AE}" pid="9" name="_dlc_DocIdItemGuid">
    <vt:lpwstr>89ae3d69-f730-4651-92d4-6abe00f50443</vt:lpwstr>
  </property>
  <property fmtid="{D5CDD505-2E9C-101B-9397-08002B2CF9AE}" pid="10" name="bjDocumentSecurityLabel">
    <vt:lpwstr>OFFICIAL:Sensitive</vt:lpwstr>
  </property>
  <property fmtid="{D5CDD505-2E9C-101B-9397-08002B2CF9AE}" pid="11" name="RecordPoint_WorkflowType">
    <vt:lpwstr>ActiveSubmitStub</vt:lpwstr>
  </property>
  <property fmtid="{D5CDD505-2E9C-101B-9397-08002B2CF9AE}" pid="12" name="RecordPoint_ActiveItemListId">
    <vt:lpwstr>{3a9826a6-ef3d-4704-849b-07726235ecc0}</vt:lpwstr>
  </property>
  <property fmtid="{D5CDD505-2E9C-101B-9397-08002B2CF9AE}" pid="13" name="RecordPoint_ActiveItemUniqueId">
    <vt:lpwstr>{a29bc07b-ad0c-445f-b858-03b535cbb9f9}</vt:lpwstr>
  </property>
  <property fmtid="{D5CDD505-2E9C-101B-9397-08002B2CF9AE}" pid="14" name="RecordPoint_ActiveItemWebId">
    <vt:lpwstr>{0a24ff59-26de-499e-af6c-870128dbbd86}</vt:lpwstr>
  </property>
  <property fmtid="{D5CDD505-2E9C-101B-9397-08002B2CF9AE}" pid="15" name="RecordPoint_ActiveItemSiteId">
    <vt:lpwstr>{cec154f9-42c6-4481-9906-45443d426660}</vt:lpwstr>
  </property>
  <property fmtid="{D5CDD505-2E9C-101B-9397-08002B2CF9AE}" pid="16" name="RecordPoint_RecordNumberSubmitted">
    <vt:lpwstr>R0000113233</vt:lpwstr>
  </property>
  <property fmtid="{D5CDD505-2E9C-101B-9397-08002B2CF9AE}" pid="17" name="RecordPoint_SubmissionCompleted">
    <vt:lpwstr>2019-04-12T14:35:32.3918290+10:00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